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/>
      </w:pPr>
      <w:r>
        <w:t>Manfred Neidel</w:t>
      </w:r>
    </w:p>
    <w:p>
      <w:pPr>
        <w:pStyle w:val="Subtitle"/>
        <w:pBdr>
          <w:bottom w:val="single" w:sz="10" w:space="8" w:color="167D89"/>
        </w:pBdr>
      </w:pPr>
      <w:r>
        <w:t>Executive Manager | Digitale Transformation · IT · Digitale Geschäftsmodelle · Öffentliche Verwaltung</w:t>
      </w:r>
    </w:p>
    <w:p>
      <w:pPr>
        <w:spacing w:before="80" w:after="20"/>
      </w:pPr>
      <w:r>
        <w:rPr>
          <w:rFonts w:ascii="Arial" w:hAnsi="Arial" w:eastAsia="Arial"/>
          <w:color w:val="66717A"/>
          <w:sz w:val="17"/>
        </w:rPr>
        <w:t>Kirchstraße 32 · 82054 Sauerlach · +49 172 9818176 · mn@neidel.eu</w:t>
      </w:r>
    </w:p>
    <w:p>
      <w:pPr>
        <w:spacing w:after="140"/>
      </w:pPr>
      <w:r>
        <w:rPr>
          <w:rFonts w:ascii="Arial" w:hAnsi="Arial" w:eastAsia="Arial"/>
          <w:b/>
          <w:color w:val="167D89"/>
          <w:sz w:val="17"/>
        </w:rPr>
        <w:t>manfred-neidel.de · cloudero.de · linkedin.com/in/neidel-manfred</w:t>
      </w:r>
    </w:p>
    <w:p>
      <w:pPr>
        <w:pStyle w:val="Heading1"/>
        <w:pageBreakBefore w:val="0"/>
        <w:pBdr>
          <w:bottom w:val="single" w:sz="7" w:space="3" w:color="167D89"/>
        </w:pBdr>
        <w:keepLines/>
        <w:keepNext/>
      </w:pPr>
      <w:r>
        <w:t>PROFIL</w:t>
      </w:r>
    </w:p>
    <w:p>
      <w:pPr>
        <w:spacing w:after="120"/>
      </w:pPr>
      <w:r>
        <w:t>Executive Manager und Diplom-Betriebswirt mit mehr als 30 Jahren Berufserfahrung in IT, digitaler Transformation, Geschäftsmodellentwicklung und operativer Unternehmensführung. Langjährige Verantwortung auf Vorstands-, Direktoriums- und Bereichsleitungsebene – von IT, Operations und Finanzen über Vertrieb, Service und Produktmanagement bis zur Verwaltungsdigitalisierung. Verbindet technologische Urteilsfähigkeit mit kaufmännischer Ergebnisorientierung, sicherem Stakeholder-Management und einem kooperativen, klaren Führungsstil. Professionell, verlässlich und loyal gegenüber Auftrag, Organisation und Mitarbeitenden.</w:t>
      </w:r>
    </w:p>
    <w:p>
      <w:pPr>
        <w:pStyle w:val="Heading1"/>
        <w:pageBreakBefore w:val="0"/>
        <w:pBdr>
          <w:bottom w:val="single" w:sz="7" w:space="3" w:color="167D89"/>
        </w:pBdr>
        <w:keepLines/>
        <w:keepNext/>
      </w:pPr>
      <w:r>
        <w:t>KERNKOMPETENZEN</w:t>
      </w:r>
    </w:p>
    <w:p>
      <w:pPr>
        <w:numPr>
          <w:ilvl w:val="0"/>
          <w:numId w:val="10"/>
        </w:numPr>
        <w:spacing w:before="0" w:after="48" w:line="247" w:lineRule="auto"/>
      </w:pPr>
      <w:r>
        <w:rPr>
          <w:rFonts w:ascii="Arial" w:hAnsi="Arial" w:eastAsia="Arial"/>
          <w:b/>
          <w:color w:val="173A5E"/>
          <w:sz w:val="18"/>
        </w:rPr>
        <w:t xml:space="preserve">Digitale Strategie &amp; Geschäftsmodelle — </w:t>
      </w:r>
      <w:r>
        <w:rPr>
          <w:rFonts w:ascii="Arial" w:hAnsi="Arial" w:eastAsia="Arial"/>
          <w:color w:val="1E252B"/>
          <w:sz w:val="18"/>
        </w:rPr>
        <w:t>Business Ideation, Business Development, Portfolio- und Produktstrategie, SaaS-/Cloud-Services</w:t>
      </w:r>
    </w:p>
    <w:p>
      <w:pPr>
        <w:numPr>
          <w:ilvl w:val="0"/>
          <w:numId w:val="10"/>
        </w:numPr>
        <w:spacing w:before="0" w:after="48" w:line="247" w:lineRule="auto"/>
      </w:pPr>
      <w:r>
        <w:rPr>
          <w:rFonts w:ascii="Arial" w:hAnsi="Arial" w:eastAsia="Arial"/>
          <w:b/>
          <w:color w:val="173A5E"/>
          <w:sz w:val="18"/>
        </w:rPr>
        <w:t xml:space="preserve">IT-Management — </w:t>
      </w:r>
      <w:r>
        <w:rPr>
          <w:rFonts w:ascii="Arial" w:hAnsi="Arial" w:eastAsia="Arial"/>
          <w:color w:val="1E252B"/>
          <w:sz w:val="18"/>
        </w:rPr>
        <w:t>IT-Strategie, Architektur, hochverfügbare Infrastrukturen, SAP/Oracle, ITSM, Security, Providersteuerung</w:t>
      </w:r>
    </w:p>
    <w:p>
      <w:pPr>
        <w:numPr>
          <w:ilvl w:val="0"/>
          <w:numId w:val="10"/>
        </w:numPr>
        <w:spacing w:before="0" w:after="48" w:line="247" w:lineRule="auto"/>
      </w:pPr>
      <w:r>
        <w:rPr>
          <w:rFonts w:ascii="Arial" w:hAnsi="Arial" w:eastAsia="Arial"/>
          <w:b/>
          <w:color w:val="173A5E"/>
          <w:sz w:val="18"/>
        </w:rPr>
        <w:t xml:space="preserve">Verwaltungsdigitalisierung — </w:t>
      </w:r>
      <w:r>
        <w:rPr>
          <w:rFonts w:ascii="Arial" w:hAnsi="Arial" w:eastAsia="Arial"/>
          <w:color w:val="1E252B"/>
          <w:sz w:val="18"/>
        </w:rPr>
        <w:t>Bund, Länder und Kommunen; digitale Identitäten, Registermodernisierung, föderale Architekturen und Cloud-Ökosysteme</w:t>
      </w:r>
    </w:p>
    <w:p>
      <w:pPr>
        <w:numPr>
          <w:ilvl w:val="0"/>
          <w:numId w:val="10"/>
        </w:numPr>
        <w:spacing w:before="0" w:after="48" w:line="247" w:lineRule="auto"/>
      </w:pPr>
      <w:r>
        <w:rPr>
          <w:rFonts w:ascii="Arial" w:hAnsi="Arial" w:eastAsia="Arial"/>
          <w:b/>
          <w:color w:val="173A5E"/>
          <w:sz w:val="18"/>
        </w:rPr>
        <w:t xml:space="preserve">Leadership &amp; Transformation — </w:t>
      </w:r>
      <w:r>
        <w:rPr>
          <w:rFonts w:ascii="Arial" w:hAnsi="Arial" w:eastAsia="Arial"/>
          <w:color w:val="1E252B"/>
          <w:sz w:val="18"/>
        </w:rPr>
        <w:t>werteorientierte Führung, Reorganisationen, Fusionen, Change, Teamentwicklung und laterale Führung</w:t>
      </w:r>
    </w:p>
    <w:p>
      <w:pPr>
        <w:numPr>
          <w:ilvl w:val="0"/>
          <w:numId w:val="10"/>
        </w:numPr>
        <w:spacing w:before="0" w:after="48" w:line="247" w:lineRule="auto"/>
      </w:pPr>
      <w:r>
        <w:rPr>
          <w:rFonts w:ascii="Arial" w:hAnsi="Arial" w:eastAsia="Arial"/>
          <w:b/>
          <w:color w:val="173A5E"/>
          <w:sz w:val="18"/>
        </w:rPr>
        <w:t xml:space="preserve">Unternehmenssteuerung — </w:t>
      </w:r>
      <w:r>
        <w:rPr>
          <w:rFonts w:ascii="Arial" w:hAnsi="Arial" w:eastAsia="Arial"/>
          <w:color w:val="1E252B"/>
          <w:sz w:val="18"/>
        </w:rPr>
        <w:t>P&amp;L, Finanzen, Controlling, Governance, Risiko, Compliance, Vergabe und Vertragsmanagement</w:t>
      </w:r>
    </w:p>
    <w:p>
      <w:pPr>
        <w:numPr>
          <w:ilvl w:val="0"/>
          <w:numId w:val="10"/>
        </w:numPr>
        <w:spacing w:before="0" w:after="48" w:line="247" w:lineRule="auto"/>
      </w:pPr>
      <w:r>
        <w:rPr>
          <w:rFonts w:ascii="Arial" w:hAnsi="Arial" w:eastAsia="Arial"/>
          <w:b/>
          <w:color w:val="173A5E"/>
          <w:sz w:val="18"/>
        </w:rPr>
        <w:t xml:space="preserve">Innovation, Markt &amp; Kunde — </w:t>
      </w:r>
      <w:r>
        <w:rPr>
          <w:rFonts w:ascii="Arial" w:hAnsi="Arial" w:eastAsia="Arial"/>
          <w:color w:val="1E252B"/>
          <w:sz w:val="18"/>
        </w:rPr>
        <w:t>KI, Data Science, RPA, Low-Code, eCommerce, Customer Experience, CRM und Service Design</w:t>
      </w:r>
    </w:p>
    <w:p>
      <w:pPr>
        <w:numPr>
          <w:ilvl w:val="0"/>
          <w:numId w:val="10"/>
        </w:numPr>
        <w:spacing w:before="0" w:after="48" w:line="247" w:lineRule="auto"/>
      </w:pPr>
      <w:r>
        <w:rPr>
          <w:rFonts w:ascii="Arial" w:hAnsi="Arial" w:eastAsia="Arial"/>
          <w:b/>
          <w:color w:val="173A5E"/>
          <w:sz w:val="18"/>
        </w:rPr>
        <w:t xml:space="preserve">Programm- &amp; Stakeholder-Management — </w:t>
      </w:r>
      <w:r>
        <w:rPr>
          <w:rFonts w:ascii="Arial" w:hAnsi="Arial" w:eastAsia="Arial"/>
          <w:color w:val="1E252B"/>
          <w:sz w:val="18"/>
        </w:rPr>
        <w:t>komplexe Vorhaben, Konsortien, Vergaben und Partnerschaften im politischen und regulierten Umfeld</w:t>
      </w:r>
    </w:p>
    <w:p>
      <w:pPr>
        <w:pStyle w:val="Heading1"/>
        <w:pageBreakBefore w:val="0"/>
        <w:pBdr>
          <w:bottom w:val="single" w:sz="7" w:space="3" w:color="167D89"/>
        </w:pBdr>
        <w:keepLines/>
        <w:keepNext/>
      </w:pPr>
      <w:r>
        <w:t>MANAGEMENT AUF EINEN BLICK</w:t>
      </w:r>
    </w:p>
    <w:p>
      <w:pPr>
        <w:shd w:fill="EEF3F5" w:val="clear"/>
        <w:spacing w:before="40" w:after="120" w:line="259" w:lineRule="auto"/>
        <w:ind w:left="160" w:right="160"/>
      </w:pPr>
      <w:r>
        <w:rPr>
          <w:rFonts w:ascii="Arial" w:hAnsi="Arial" w:eastAsia="Arial"/>
          <w:b/>
          <w:color w:val="167D89"/>
          <w:sz w:val="15"/>
        </w:rPr>
        <w:t xml:space="preserve">◆  </w:t>
      </w:r>
      <w:r>
        <w:rPr>
          <w:rFonts w:ascii="Arial" w:hAnsi="Arial" w:eastAsia="Arial"/>
          <w:color w:val="1E252B"/>
          <w:sz w:val="17"/>
        </w:rPr>
        <w:t>Führung von Organisationseinheiten mit mehr als 100 Mitarbeitenden, darunter 15 Direktberichtende</w:t>
      </w:r>
      <w:r>
        <w:br/>
      </w:r>
      <w:r>
        <w:rPr>
          <w:rFonts w:ascii="Arial" w:hAnsi="Arial" w:eastAsia="Arial"/>
          <w:b/>
          <w:color w:val="167D89"/>
          <w:sz w:val="15"/>
        </w:rPr>
        <w:t xml:space="preserve">◆  </w:t>
      </w:r>
      <w:r>
        <w:rPr>
          <w:rFonts w:ascii="Arial" w:hAnsi="Arial" w:eastAsia="Arial"/>
          <w:color w:val="1E252B"/>
          <w:sz w:val="17"/>
        </w:rPr>
        <w:t>Vorstandsverantwortung für IT, Operations und Finanzen (CIO/COO/CFO); P&amp;L- und Ergebnisverantwortung</w:t>
      </w:r>
      <w:r>
        <w:br/>
      </w:r>
      <w:r>
        <w:rPr>
          <w:rFonts w:ascii="Arial" w:hAnsi="Arial" w:eastAsia="Arial"/>
          <w:b/>
          <w:color w:val="167D89"/>
          <w:sz w:val="15"/>
        </w:rPr>
        <w:t xml:space="preserve">◆  </w:t>
      </w:r>
      <w:r>
        <w:rPr>
          <w:rFonts w:ascii="Arial" w:hAnsi="Arial" w:eastAsia="Arial"/>
          <w:color w:val="1E252B"/>
          <w:sz w:val="17"/>
        </w:rPr>
        <w:t>Steuerung von Programmen bis 25 Mio. EUR; nachgewiesene Transformationsergebnisse, u. a. 30 % Produktivitätssteigerung in der IT-Entwicklung</w:t>
      </w:r>
    </w:p>
    <w:p>
      <w:pPr>
        <w:pStyle w:val="Heading1"/>
        <w:pageBreakBefore w:val="0"/>
        <w:pBdr>
          <w:bottom w:val="single" w:sz="7" w:space="3" w:color="167D89"/>
        </w:pBdr>
        <w:keepLines/>
        <w:keepNext/>
      </w:pPr>
      <w:r>
        <w:t>BERUFSERFAHRUNG</w:t>
      </w:r>
    </w:p>
    <w:p>
      <w:pPr>
        <w:pStyle w:val="Role"/>
        <w:tabs>
          <w:tab w:pos="9865" w:val="right"/>
        </w:tabs>
        <w:keepLines/>
        <w:keepNext/>
      </w:pPr>
      <w:r>
        <w:rPr>
          <w:rFonts w:ascii="Arial" w:hAnsi="Arial" w:eastAsia="Arial"/>
          <w:b/>
          <w:color w:val="173A5E"/>
          <w:sz w:val="22"/>
        </w:rPr>
        <w:t>Strategie &amp; Business Development Bund/Länder</w:t>
      </w:r>
      <w:r>
        <w:tab/>
      </w:r>
      <w:r>
        <w:rPr>
          <w:rFonts w:ascii="Arial" w:hAnsi="Arial" w:eastAsia="Arial"/>
          <w:b/>
          <w:color w:val="167D89"/>
          <w:sz w:val="17"/>
        </w:rPr>
        <w:t>04/2019 – heute</w:t>
      </w:r>
    </w:p>
    <w:p>
      <w:pPr>
        <w:pStyle w:val="Organization"/>
        <w:keepLines/>
        <w:keepNext/>
      </w:pPr>
      <w:r>
        <w:t>Stabsstelle Digitale Verwaltung | AKDB – Anstalt für Kommunale Datenverarbeitung in Bayern, München</w:t>
      </w:r>
    </w:p>
    <w:p>
      <w:pPr>
        <w:spacing w:after="60"/>
        <w:keepLines/>
        <w:keepNext/>
      </w:pPr>
      <w:r>
        <w:t>Strategische und operative Weiterentwicklung des Angebots für die digitale Verwaltung; Beratung und Repräsentation gegenüber Ministerien, Bundes- und Landesbehörden, Kommunen, Gremien und Partnern.</w:t>
      </w:r>
    </w:p>
    <w:p>
      <w:pPr>
        <w:widowControl/>
        <w:numPr>
          <w:ilvl w:val="0"/>
          <w:numId w:val="10"/>
        </w:numPr>
        <w:spacing w:before="0" w:after="60" w:line="252" w:lineRule="auto"/>
        <w:keepLines/>
      </w:pPr>
      <w:r>
        <w:rPr>
          <w:rFonts w:ascii="Arial" w:hAnsi="Arial" w:eastAsia="Arial"/>
          <w:color w:val="1E252B"/>
        </w:rPr>
        <w:t>Initiierung und Entwicklung digitaler Geschäftsmodelle, Leistungsangebote, Partnerschaften und Konsortialansätze für Bund und Länder; Verbindung von Strategie, Architektur, Governance, Betrieb und Vermarktung.</w:t>
      </w:r>
    </w:p>
    <w:p>
      <w:pPr>
        <w:widowControl/>
        <w:numPr>
          <w:ilvl w:val="0"/>
          <w:numId w:val="10"/>
        </w:numPr>
        <w:spacing w:before="0" w:after="60" w:line="252" w:lineRule="auto"/>
        <w:keepLines/>
      </w:pPr>
      <w:r>
        <w:rPr>
          <w:rFonts w:ascii="Arial" w:hAnsi="Arial" w:eastAsia="Arial"/>
          <w:color w:val="1E252B"/>
        </w:rPr>
        <w:t>Fachliche Schwerpunkte: Registermodernisierung und Nachweisaustausch im 4-Corner-Modell, digitale Identitäten/EUDI-Wallet, OZG-Rahmenarchitektur, FIT-Connect, Deutsche Verwaltungscloud und souveräne Managed Services.</w:t>
      </w:r>
    </w:p>
    <w:p>
      <w:pPr>
        <w:widowControl/>
        <w:numPr>
          <w:ilvl w:val="0"/>
          <w:numId w:val="10"/>
        </w:numPr>
        <w:spacing w:before="0" w:after="60" w:line="252" w:lineRule="auto"/>
        <w:keepLines/>
      </w:pPr>
      <w:r>
        <w:rPr>
          <w:rFonts w:ascii="Arial" w:hAnsi="Arial" w:eastAsia="Arial"/>
          <w:color w:val="1E252B"/>
        </w:rPr>
        <w:t>Aufbau und Begleitung von Innovationsvorhaben rund um KI, RPA, Low-Code, Hyperautomation, Prozessmanagement, DMS sowie Ende-zu-Ende-Integration.</w:t>
      </w:r>
    </w:p>
    <w:p>
      <w:pPr>
        <w:widowControl/>
        <w:numPr>
          <w:ilvl w:val="0"/>
          <w:numId w:val="10"/>
        </w:numPr>
        <w:spacing w:before="0" w:after="60" w:line="252" w:lineRule="auto"/>
      </w:pPr>
      <w:r>
        <w:rPr>
          <w:rFonts w:ascii="Arial" w:hAnsi="Arial" w:eastAsia="Arial"/>
          <w:color w:val="1E252B"/>
        </w:rPr>
        <w:t>Stakeholder- und Gremienmanagement mit Bund, Ländern, Kommunen, IT-Dienstleistern, Verbänden und Technologiepartnern; Erarbeitung strategischer Entscheidungsgrundlagen und Vertretung der AKDB. Ausgewählte Vorhaben: Register-as-a-Service, Cloud-Ökosysteme, Atlassian-as-a-Service, EUDI-Betrieb, Low-Code-Servicecenter und Erprobungsprojekte der Registermodernisierung in Bayern.</w:t>
      </w:r>
    </w:p>
    <w:p>
      <w:pPr>
        <w:pStyle w:val="Heading1"/>
        <w:pageBreakBefore/>
        <w:pBdr>
          <w:bottom w:val="single" w:sz="7" w:space="3" w:color="167D89"/>
        </w:pBdr>
        <w:keepLines/>
        <w:keepNext/>
      </w:pPr>
      <w:r>
        <w:t>BERUFSERFAHRUNG · 2</w:t>
      </w:r>
    </w:p>
    <w:p>
      <w:pPr>
        <w:pStyle w:val="Role"/>
        <w:tabs>
          <w:tab w:pos="9865" w:val="right"/>
        </w:tabs>
        <w:keepLines/>
        <w:keepNext/>
      </w:pPr>
      <w:r>
        <w:rPr>
          <w:rFonts w:ascii="Arial" w:hAnsi="Arial" w:eastAsia="Arial"/>
          <w:b/>
          <w:color w:val="173A5E"/>
          <w:sz w:val="22"/>
        </w:rPr>
        <w:t>Gründer &amp; Interim Manager</w:t>
      </w:r>
      <w:r>
        <w:tab/>
      </w:r>
      <w:r>
        <w:rPr>
          <w:rFonts w:ascii="Arial" w:hAnsi="Arial" w:eastAsia="Arial"/>
          <w:b/>
          <w:color w:val="167D89"/>
          <w:sz w:val="17"/>
        </w:rPr>
        <w:t>2015 – 04/2019</w:t>
      </w:r>
    </w:p>
    <w:p>
      <w:pPr>
        <w:pStyle w:val="Organization"/>
        <w:keepLines/>
        <w:keepNext/>
      </w:pPr>
      <w:r>
        <w:t>Manfred Neidel Consulting – Digitalisierung · Interimsmanagement · IT</w:t>
      </w:r>
    </w:p>
    <w:p>
      <w:pPr>
        <w:spacing w:after="60"/>
        <w:keepLines/>
        <w:keepNext/>
      </w:pPr>
      <w:r>
        <w:t>Interimsmanagement und Beratung auf Senior-Management-Ebene mit Fokus auf digitale Transformation, IT-Management, kaufmännische Unternehmensführung und Geschäftsmodellentwicklung.</w:t>
      </w:r>
    </w:p>
    <w:p>
      <w:pPr>
        <w:widowControl/>
        <w:numPr>
          <w:ilvl w:val="0"/>
          <w:numId w:val="10"/>
        </w:numPr>
        <w:spacing w:before="0" w:after="60" w:line="252" w:lineRule="auto"/>
        <w:keepLines/>
      </w:pPr>
      <w:r>
        <w:rPr>
          <w:rFonts w:ascii="Arial" w:hAnsi="Arial" w:eastAsia="Arial"/>
          <w:color w:val="1E252B"/>
        </w:rPr>
        <w:t>Strategieentwicklung und -umsetzung, Reorganisation von IT-Einheiten, Business Development, Prozess- und Projektmanagement, eCommerce sowie Customer Experience Management.</w:t>
      </w:r>
    </w:p>
    <w:p>
      <w:pPr>
        <w:widowControl/>
        <w:numPr>
          <w:ilvl w:val="0"/>
          <w:numId w:val="10"/>
        </w:numPr>
        <w:spacing w:before="0" w:after="60" w:line="252" w:lineRule="auto"/>
        <w:keepLines/>
      </w:pPr>
      <w:r>
        <w:rPr>
          <w:rFonts w:ascii="Arial" w:hAnsi="Arial" w:eastAsia="Arial"/>
          <w:color w:val="1E252B"/>
        </w:rPr>
        <w:t>Ausgewählte Projekte: Virtual-/Augmented-Reality im Krankenversicherungsvertrieb, Optimierung der Customer Journey eines Car-Sharing-Anbieters sowie Blockchain-Anwendung für Identifikations- und Abrechnungsprozesse im Telekommunikationsmarkt.</w:t>
      </w:r>
    </w:p>
    <w:p>
      <w:pPr>
        <w:widowControl/>
        <w:numPr>
          <w:ilvl w:val="0"/>
          <w:numId w:val="10"/>
        </w:numPr>
        <w:spacing w:before="0" w:after="60" w:line="252" w:lineRule="auto"/>
      </w:pPr>
      <w:r>
        <w:rPr>
          <w:rFonts w:ascii="Arial" w:hAnsi="Arial" w:eastAsia="Arial"/>
          <w:color w:val="1E252B"/>
        </w:rPr>
        <w:t>Übernahme von Führungs- und Stabilisierungssituationen mit klarer Ergebnis-, Umsetzungs- und Stakeholder-Orientierung.</w:t>
      </w:r>
    </w:p>
    <w:p>
      <w:pPr>
        <w:pStyle w:val="Role"/>
        <w:tabs>
          <w:tab w:pos="9865" w:val="right"/>
        </w:tabs>
        <w:keepLines/>
        <w:keepNext/>
      </w:pPr>
      <w:r>
        <w:rPr>
          <w:rFonts w:ascii="Arial" w:hAnsi="Arial" w:eastAsia="Arial"/>
          <w:b/>
          <w:color w:val="173A5E"/>
          <w:sz w:val="22"/>
        </w:rPr>
        <w:t>Vorstand (CIO/COO/CFO) – IT, Operations &amp; Finanzen</w:t>
      </w:r>
      <w:r>
        <w:tab/>
      </w:r>
      <w:r>
        <w:rPr>
          <w:rFonts w:ascii="Arial" w:hAnsi="Arial" w:eastAsia="Arial"/>
          <w:b/>
          <w:color w:val="167D89"/>
          <w:sz w:val="17"/>
        </w:rPr>
        <w:t>07/2012 – 10/2014</w:t>
      </w:r>
    </w:p>
    <w:p>
      <w:pPr>
        <w:pStyle w:val="Organization"/>
        <w:keepLines/>
        <w:keepNext/>
      </w:pPr>
      <w:r>
        <w:t>GKL Gemeinsame Klassenlotterie der Länder AöR, München/Hamburg</w:t>
      </w:r>
    </w:p>
    <w:p>
      <w:pPr>
        <w:spacing w:after="60"/>
        <w:keepLines/>
        <w:keepNext/>
      </w:pPr>
      <w:r>
        <w:t>Vorstandsverantwortung für IT, Operations und Finanzen einer ländergetragenen Anstalt des öffentlichen Rechts; Bilanzsumme 148 Mio. EUR.</w:t>
      </w:r>
    </w:p>
    <w:p>
      <w:pPr>
        <w:widowControl/>
        <w:numPr>
          <w:ilvl w:val="0"/>
          <w:numId w:val="10"/>
        </w:numPr>
        <w:spacing w:before="0" w:after="60" w:line="252" w:lineRule="auto"/>
        <w:keepLines/>
      </w:pPr>
      <w:r>
        <w:rPr>
          <w:rFonts w:ascii="Arial" w:hAnsi="Arial" w:eastAsia="Arial"/>
          <w:color w:val="1E252B"/>
        </w:rPr>
        <w:t>Leitung der IT-, Finanz- und Operations-Einheiten an den Standorten München und Hamburg mit P&amp;L-, Budget- und Ergebnisverantwortung.</w:t>
      </w:r>
    </w:p>
    <w:p>
      <w:pPr>
        <w:widowControl/>
        <w:numPr>
          <w:ilvl w:val="0"/>
          <w:numId w:val="10"/>
        </w:numPr>
        <w:spacing w:before="0" w:after="60" w:line="252" w:lineRule="auto"/>
        <w:keepLines/>
      </w:pPr>
      <w:r>
        <w:rPr>
          <w:rFonts w:ascii="Arial" w:hAnsi="Arial" w:eastAsia="Arial"/>
          <w:color w:val="1E252B"/>
        </w:rPr>
        <w:t>Gestaltung des Fusions- und Transformationsprozesses, strategische Neuausrichtung von Organisation, IT und Geschäftsmodell sowie Zusammenarbeit mit Trägerländern und Aufsichtsbehörden.</w:t>
      </w:r>
    </w:p>
    <w:p>
      <w:pPr>
        <w:widowControl/>
        <w:numPr>
          <w:ilvl w:val="0"/>
          <w:numId w:val="10"/>
        </w:numPr>
        <w:spacing w:before="0" w:after="60" w:line="252" w:lineRule="auto"/>
        <w:keepLines/>
      </w:pPr>
      <w:r>
        <w:rPr>
          <w:rFonts w:ascii="Arial" w:hAnsi="Arial" w:eastAsia="Arial"/>
          <w:color w:val="1E252B"/>
        </w:rPr>
        <w:t>Verantwortung für hochverfügbare Infrastruktur an vier Rechenzentrumsstandorten, Oracle- und SAP-Landschaft, Virtualisierung, IT-Security, ITIL-basiertes Servicemanagement sowie Outsourcing und Providermanagement.</w:t>
      </w:r>
    </w:p>
    <w:p>
      <w:pPr>
        <w:widowControl/>
        <w:numPr>
          <w:ilvl w:val="0"/>
          <w:numId w:val="10"/>
        </w:numPr>
        <w:spacing w:before="0" w:after="60" w:line="252" w:lineRule="auto"/>
        <w:keepLines/>
      </w:pPr>
      <w:r>
        <w:rPr>
          <w:rFonts w:ascii="Arial" w:hAnsi="Arial" w:eastAsia="Arial"/>
          <w:color w:val="1E252B"/>
        </w:rPr>
        <w:t>Leitung der SAP-Einführung von Beschaffung bis Betrieb; Neuausrichtung des IT-Entwicklungsprozesses mit 30 % Produktivitätssteigerung.</w:t>
      </w:r>
    </w:p>
    <w:p>
      <w:pPr>
        <w:widowControl/>
        <w:numPr>
          <w:ilvl w:val="0"/>
          <w:numId w:val="10"/>
        </w:numPr>
        <w:spacing w:before="0" w:after="60" w:line="252" w:lineRule="auto"/>
      </w:pPr>
      <w:r>
        <w:rPr>
          <w:rFonts w:ascii="Arial" w:hAnsi="Arial" w:eastAsia="Arial"/>
          <w:color w:val="1E252B"/>
        </w:rPr>
        <w:t>Steuerung von Finanz- und Rechnungswesen, Liquidität, Steuern und Corporate Reporting; externe Vertretung in Gremien, Anhörungen und Fachveranstaltungen.</w:t>
      </w:r>
    </w:p>
    <w:p>
      <w:pPr>
        <w:pStyle w:val="Role"/>
        <w:tabs>
          <w:tab w:pos="9865" w:val="right"/>
        </w:tabs>
        <w:keepLines/>
        <w:keepNext/>
      </w:pPr>
      <w:r>
        <w:rPr>
          <w:rFonts w:ascii="Arial" w:hAnsi="Arial" w:eastAsia="Arial"/>
          <w:b/>
          <w:color w:val="173A5E"/>
          <w:sz w:val="22"/>
        </w:rPr>
        <w:t>Stellvertretender Direktor</w:t>
      </w:r>
      <w:r>
        <w:tab/>
      </w:r>
      <w:r>
        <w:rPr>
          <w:rFonts w:ascii="Arial" w:hAnsi="Arial" w:eastAsia="Arial"/>
          <w:b/>
          <w:color w:val="167D89"/>
          <w:sz w:val="17"/>
        </w:rPr>
        <w:t>10/2006 – 06/2012</w:t>
      </w:r>
    </w:p>
    <w:p>
      <w:pPr>
        <w:pStyle w:val="Organization"/>
        <w:keepLines/>
        <w:keepNext/>
      </w:pPr>
      <w:r>
        <w:t>Süddeutsche Klassenlotterie AöR (SKL), München</w:t>
      </w:r>
    </w:p>
    <w:p>
      <w:pPr>
        <w:spacing w:after="60"/>
        <w:keepLines/>
        <w:keepNext/>
      </w:pPr>
      <w:r>
        <w:t>Führung und Vertretung der Anstalt mit Einzelvertretungsbefugnis; Verantwortung für IT, Lotterieabwicklung, Kundenservicecenter sowie Ziehung und Spielplanentwicklung. Jahresumsatz über 800 Mio. EUR.</w:t>
      </w:r>
    </w:p>
    <w:p>
      <w:pPr>
        <w:widowControl/>
        <w:numPr>
          <w:ilvl w:val="0"/>
          <w:numId w:val="10"/>
        </w:numPr>
        <w:spacing w:before="0" w:after="60" w:line="252" w:lineRule="auto"/>
        <w:keepLines/>
      </w:pPr>
      <w:r>
        <w:rPr>
          <w:rFonts w:ascii="Arial" w:hAnsi="Arial" w:eastAsia="Arial"/>
          <w:color w:val="1E252B"/>
        </w:rPr>
        <w:t>Strategische Führung von IT und Spielbetrieb mit 30 von insgesamt 50 Mitarbeitenden sowie P&amp;L- und Budgetverantwortung.</w:t>
      </w:r>
    </w:p>
    <w:p>
      <w:pPr>
        <w:widowControl/>
        <w:numPr>
          <w:ilvl w:val="0"/>
          <w:numId w:val="10"/>
        </w:numPr>
        <w:spacing w:before="0" w:after="60" w:line="252" w:lineRule="auto"/>
        <w:keepLines/>
      </w:pPr>
      <w:r>
        <w:rPr>
          <w:rFonts w:ascii="Arial" w:hAnsi="Arial" w:eastAsia="Arial"/>
          <w:color w:val="1E252B"/>
        </w:rPr>
        <w:t>Digitalisierung und Prozessoptimierung auf Basis serviceorientierter Architekturen; Einführung von Scrum und Transformation der Entwicklung von Oracle PL/SQL zu Java.</w:t>
      </w:r>
    </w:p>
    <w:p>
      <w:pPr>
        <w:widowControl/>
        <w:numPr>
          <w:ilvl w:val="0"/>
          <w:numId w:val="10"/>
        </w:numPr>
        <w:spacing w:before="0" w:after="60" w:line="252" w:lineRule="auto"/>
        <w:keepLines/>
      </w:pPr>
      <w:r>
        <w:rPr>
          <w:rFonts w:ascii="Arial" w:hAnsi="Arial" w:eastAsia="Arial"/>
          <w:color w:val="1E252B"/>
        </w:rPr>
        <w:t>Verantwortung für Rechnungswesen, Risikomanagement, Budgetierung, Kostenrechnung, Controlling und Corporate Reporting.</w:t>
      </w:r>
    </w:p>
    <w:p>
      <w:pPr>
        <w:widowControl/>
        <w:numPr>
          <w:ilvl w:val="0"/>
          <w:numId w:val="10"/>
        </w:numPr>
        <w:spacing w:before="0" w:after="60" w:line="252" w:lineRule="auto"/>
      </w:pPr>
      <w:r>
        <w:rPr>
          <w:rFonts w:ascii="Arial" w:hAnsi="Arial" w:eastAsia="Arial"/>
          <w:color w:val="1E252B"/>
        </w:rPr>
        <w:t>Business Development durch neue Vertriebs- und Channel-Partner sowie Produktinnovationen in einem hochregulierten Markt.</w:t>
      </w:r>
    </w:p>
    <w:p>
      <w:pPr>
        <w:pStyle w:val="Heading1"/>
        <w:pageBreakBefore/>
        <w:pBdr>
          <w:bottom w:val="single" w:sz="7" w:space="3" w:color="167D89"/>
        </w:pBdr>
        <w:keepLines/>
        <w:keepNext/>
      </w:pPr>
      <w:r>
        <w:t>BERUFSERFAHRUNG · 3</w:t>
      </w:r>
    </w:p>
    <w:p>
      <w:pPr>
        <w:pStyle w:val="Role"/>
        <w:tabs>
          <w:tab w:pos="9865" w:val="right"/>
        </w:tabs>
        <w:keepLines/>
        <w:keepNext/>
      </w:pPr>
      <w:r>
        <w:rPr>
          <w:rFonts w:ascii="Arial" w:hAnsi="Arial" w:eastAsia="Arial"/>
          <w:b/>
          <w:color w:val="173A5E"/>
          <w:sz w:val="22"/>
        </w:rPr>
        <w:t>Leiter Vertrieb &amp; Kundenservice | Datenschutzbeauftragter (Zusatzfunktion)</w:t>
      </w:r>
      <w:r>
        <w:tab/>
      </w:r>
      <w:r>
        <w:rPr>
          <w:rFonts w:ascii="Arial" w:hAnsi="Arial" w:eastAsia="Arial"/>
          <w:b/>
          <w:color w:val="167D89"/>
          <w:sz w:val="17"/>
        </w:rPr>
        <w:t>01/2004 – 09/2006</w:t>
      </w:r>
    </w:p>
    <w:p>
      <w:pPr>
        <w:pStyle w:val="Organization"/>
        <w:keepLines/>
        <w:keepNext/>
      </w:pPr>
      <w:r>
        <w:t>Günther Direct Services GmbH, Bamberg</w:t>
      </w:r>
    </w:p>
    <w:p>
      <w:pPr>
        <w:spacing w:after="60"/>
        <w:keepLines/>
        <w:keepNext/>
      </w:pPr>
      <w:r>
        <w:t>Führung von Vertrieb, Service und Marketing mit 15 Direktberichtenden und mehr als 100 Mitarbeitenden; umfassende Umsatz- und Ergebnisverantwortung.</w:t>
      </w:r>
    </w:p>
    <w:p>
      <w:pPr>
        <w:widowControl/>
        <w:numPr>
          <w:ilvl w:val="0"/>
          <w:numId w:val="10"/>
        </w:numPr>
        <w:spacing w:before="0" w:after="60" w:line="252" w:lineRule="auto"/>
        <w:keepLines/>
      </w:pPr>
      <w:r>
        <w:rPr>
          <w:rFonts w:ascii="Arial" w:hAnsi="Arial" w:eastAsia="Arial"/>
          <w:color w:val="1E252B"/>
        </w:rPr>
        <w:t>Neuausrichtung von Omni-Channel-Vertrieb und Kundenservice über Telefon, E-Mail, Online und Partner; Stabilisierung des Geschäftsmodells in einem anspruchsvollen Marktumfeld.</w:t>
      </w:r>
    </w:p>
    <w:p>
      <w:pPr>
        <w:widowControl/>
        <w:numPr>
          <w:ilvl w:val="0"/>
          <w:numId w:val="10"/>
        </w:numPr>
        <w:spacing w:before="0" w:after="60" w:line="252" w:lineRule="auto"/>
        <w:keepLines/>
      </w:pPr>
      <w:r>
        <w:rPr>
          <w:rFonts w:ascii="Arial" w:hAnsi="Arial" w:eastAsia="Arial"/>
          <w:color w:val="1E252B"/>
        </w:rPr>
        <w:t>Weiterentwicklung von Customer Experience, CRM, Churn- und Beschwerdemanagement sowie datengetriebener Vertriebssteuerung und Data-Warehouse-Nutzung.</w:t>
      </w:r>
    </w:p>
    <w:p>
      <w:pPr>
        <w:widowControl/>
        <w:numPr>
          <w:ilvl w:val="0"/>
          <w:numId w:val="10"/>
        </w:numPr>
        <w:spacing w:before="0" w:after="60" w:line="252" w:lineRule="auto"/>
        <w:keepLines/>
      </w:pPr>
      <w:r>
        <w:rPr>
          <w:rFonts w:ascii="Arial" w:hAnsi="Arial" w:eastAsia="Arial"/>
          <w:color w:val="1E252B"/>
        </w:rPr>
        <w:t>Steuerung von Produktentwicklung, Marketingkonzeptionen und Partnerauswahl; Handlungsvollmacht nach § 54 HGB.</w:t>
      </w:r>
    </w:p>
    <w:p>
      <w:pPr>
        <w:widowControl/>
        <w:numPr>
          <w:ilvl w:val="0"/>
          <w:numId w:val="10"/>
        </w:numPr>
        <w:spacing w:before="0" w:after="60" w:line="252" w:lineRule="auto"/>
      </w:pPr>
      <w:r>
        <w:rPr>
          <w:rFonts w:ascii="Arial" w:hAnsi="Arial" w:eastAsia="Arial"/>
          <w:color w:val="1E252B"/>
        </w:rPr>
        <w:t>Als Datenschutzbeauftragter: Compliance-Monitoring, Opt-in- und Direktmarketingkonzepte, IT-Sicherheitsstrategie und Koordination externer Fachberatung.</w:t>
      </w:r>
    </w:p>
    <w:p>
      <w:pPr>
        <w:pStyle w:val="Role"/>
        <w:tabs>
          <w:tab w:pos="9865" w:val="right"/>
        </w:tabs>
        <w:keepLines/>
        <w:keepNext/>
      </w:pPr>
      <w:r>
        <w:rPr>
          <w:rFonts w:ascii="Arial" w:hAnsi="Arial" w:eastAsia="Arial"/>
          <w:b/>
          <w:color w:val="173A5E"/>
          <w:sz w:val="22"/>
        </w:rPr>
        <w:t>Leitung eCommerce/eService | Controlling | Teamleitung</w:t>
      </w:r>
      <w:r>
        <w:tab/>
      </w:r>
      <w:r>
        <w:rPr>
          <w:rFonts w:ascii="Arial" w:hAnsi="Arial" w:eastAsia="Arial"/>
          <w:b/>
          <w:color w:val="167D89"/>
          <w:sz w:val="17"/>
        </w:rPr>
        <w:t>09/1995 – 12/2003</w:t>
      </w:r>
    </w:p>
    <w:p>
      <w:pPr>
        <w:pStyle w:val="Organization"/>
        <w:keepLines/>
        <w:keepNext/>
      </w:pPr>
      <w:r>
        <w:t>Advance Bank AG, München</w:t>
      </w:r>
    </w:p>
    <w:p>
      <w:pPr>
        <w:spacing w:after="60"/>
        <w:keepLines/>
        <w:keepNext/>
      </w:pPr>
      <w:r>
        <w:t>Aufbau- und Führungsrollen im Direct Banking mit Verantwortung für digitale Vertriebskanäle, Serviceinnovation, Performance-Management und Kundeninteraktion.</w:t>
      </w:r>
    </w:p>
    <w:p>
      <w:pPr>
        <w:widowControl/>
        <w:numPr>
          <w:ilvl w:val="0"/>
          <w:numId w:val="10"/>
        </w:numPr>
        <w:spacing w:before="0" w:after="60" w:line="252" w:lineRule="auto"/>
        <w:keepLines/>
      </w:pPr>
      <w:r>
        <w:rPr>
          <w:rFonts w:ascii="Arial" w:hAnsi="Arial" w:eastAsia="Arial"/>
          <w:color w:val="1E252B"/>
        </w:rPr>
        <w:t>Aufbau und Führung eines Multi-Kanal-Communication-Centers; Coaching und Entwicklung von Mitarbeitenden sowie Anforderungsmanagement für CRM-, CEM- und Vertriebssysteme.</w:t>
      </w:r>
    </w:p>
    <w:p>
      <w:pPr>
        <w:widowControl/>
        <w:numPr>
          <w:ilvl w:val="0"/>
          <w:numId w:val="10"/>
        </w:numPr>
        <w:spacing w:before="0" w:after="60" w:line="252" w:lineRule="auto"/>
        <w:keepLines/>
      </w:pPr>
      <w:r>
        <w:rPr>
          <w:rFonts w:ascii="Arial" w:hAnsi="Arial" w:eastAsia="Arial"/>
          <w:color w:val="1E252B"/>
        </w:rPr>
        <w:t>Entwicklung früher digitaler Serviceinnovationen: WebGuide/Chatbot, kollaboratives Browsing, bankweites E-Mail-Tool und Interactive Voice Response.</w:t>
      </w:r>
    </w:p>
    <w:p>
      <w:pPr>
        <w:widowControl/>
        <w:numPr>
          <w:ilvl w:val="0"/>
          <w:numId w:val="10"/>
        </w:numPr>
        <w:spacing w:before="0" w:after="60" w:line="252" w:lineRule="auto"/>
        <w:keepLines/>
      </w:pPr>
      <w:r>
        <w:rPr>
          <w:rFonts w:ascii="Arial" w:hAnsi="Arial" w:eastAsia="Arial"/>
          <w:color w:val="1E252B"/>
        </w:rPr>
        <w:t>Strategisches und operatives Performance- und Vertriebscontrolling, Ressourcen- und Produktivitätsplanung, Budgetierung und Prozessmanagement.</w:t>
      </w:r>
    </w:p>
    <w:p>
      <w:pPr>
        <w:widowControl/>
        <w:numPr>
          <w:ilvl w:val="0"/>
          <w:numId w:val="10"/>
        </w:numPr>
        <w:spacing w:before="0" w:after="60" w:line="252" w:lineRule="auto"/>
      </w:pPr>
      <w:r>
        <w:rPr>
          <w:rFonts w:ascii="Arial" w:hAnsi="Arial" w:eastAsia="Arial"/>
          <w:color w:val="1E252B"/>
        </w:rPr>
        <w:t>Vertretung der Bank im konzernweiten eCommerce-Kreis der Dresdner Bank und Umsetzung geschäftskritischer Digitalprojekte.</w:t>
      </w:r>
    </w:p>
    <w:p>
      <w:pPr>
        <w:pStyle w:val="Role"/>
        <w:tabs>
          <w:tab w:pos="9865" w:val="right"/>
        </w:tabs>
        <w:keepLines/>
        <w:keepNext/>
      </w:pPr>
      <w:r>
        <w:rPr>
          <w:rFonts w:ascii="Arial" w:hAnsi="Arial" w:eastAsia="Arial"/>
          <w:b/>
          <w:color w:val="173A5E"/>
          <w:sz w:val="22"/>
        </w:rPr>
        <w:t>Interim-Spezialist Rechnungswesen &amp; Controlling</w:t>
      </w:r>
      <w:r>
        <w:tab/>
      </w:r>
      <w:r>
        <w:rPr>
          <w:rFonts w:ascii="Arial" w:hAnsi="Arial" w:eastAsia="Arial"/>
          <w:b/>
          <w:color w:val="167D89"/>
          <w:sz w:val="17"/>
        </w:rPr>
        <w:t>02/1995 – 08/1995</w:t>
      </w:r>
    </w:p>
    <w:p>
      <w:pPr>
        <w:pStyle w:val="Organization"/>
        <w:keepLines/>
        <w:keepNext/>
      </w:pPr>
      <w:r>
        <w:t>General Motors Service – Administration Support Unit, Groß-Gerau</w:t>
      </w:r>
    </w:p>
    <w:p>
      <w:pPr>
        <w:spacing w:after="60"/>
      </w:pPr>
      <w:r>
        <w:t>Finance- und Accounting-Unterstützung für die Importmarken im internationalen Konzernumfeld.</w:t>
      </w:r>
    </w:p>
    <w:p>
      <w:pPr>
        <w:pStyle w:val="Role"/>
        <w:tabs>
          <w:tab w:pos="9865" w:val="right"/>
        </w:tabs>
        <w:keepLines/>
        <w:keepNext/>
      </w:pPr>
      <w:r>
        <w:rPr>
          <w:rFonts w:ascii="Arial" w:hAnsi="Arial" w:eastAsia="Arial"/>
          <w:b/>
          <w:color w:val="173A5E"/>
          <w:sz w:val="22"/>
        </w:rPr>
        <w:t>Consultant</w:t>
      </w:r>
      <w:r>
        <w:tab/>
      </w:r>
      <w:r>
        <w:rPr>
          <w:rFonts w:ascii="Arial" w:hAnsi="Arial" w:eastAsia="Arial"/>
          <w:b/>
          <w:color w:val="167D89"/>
          <w:sz w:val="17"/>
        </w:rPr>
        <w:t>10/1993 – 12/1994</w:t>
      </w:r>
    </w:p>
    <w:p>
      <w:pPr>
        <w:pStyle w:val="Organization"/>
        <w:keepLines/>
        <w:keepNext/>
      </w:pPr>
      <w:r>
        <w:t>A.S.I. Consulting GmbH &amp; Co. KG, Mainz/Münster</w:t>
      </w:r>
    </w:p>
    <w:p>
      <w:pPr>
        <w:spacing w:after="60"/>
      </w:pPr>
      <w:r>
        <w:t>Beratung zu Unternehmensgründung, Start-ups, Private Equity, Management sowie Banking; eigene P&amp;L-Verantwortung.</w:t>
      </w:r>
    </w:p>
    <w:p>
      <w:pPr>
        <w:pStyle w:val="Heading1"/>
        <w:pageBreakBefore/>
        <w:pBdr>
          <w:bottom w:val="single" w:sz="7" w:space="3" w:color="167D89"/>
        </w:pBdr>
        <w:keepLines/>
        <w:keepNext/>
      </w:pPr>
      <w:r>
        <w:t>AUSBILDUNG</w:t>
      </w:r>
    </w:p>
    <w:p>
      <w:pPr>
        <w:pStyle w:val="Role"/>
        <w:tabs>
          <w:tab w:pos="9865" w:val="right"/>
        </w:tabs>
        <w:keepLines/>
        <w:keepNext/>
      </w:pPr>
      <w:r>
        <w:rPr>
          <w:rFonts w:ascii="Arial" w:hAnsi="Arial" w:eastAsia="Arial"/>
          <w:b/>
          <w:color w:val="173A5E"/>
          <w:sz w:val="21"/>
        </w:rPr>
        <w:t>Master of Arts – Europawissenschaften</w:t>
      </w:r>
      <w:r>
        <w:tab/>
      </w:r>
      <w:r>
        <w:rPr>
          <w:rFonts w:ascii="Arial" w:hAnsi="Arial" w:eastAsia="Arial"/>
          <w:b/>
          <w:color w:val="167D89"/>
          <w:sz w:val="17"/>
        </w:rPr>
        <w:t>10/1992 – 10/1993</w:t>
      </w:r>
    </w:p>
    <w:p>
      <w:pPr>
        <w:pStyle w:val="Organization"/>
        <w:keepLines/>
        <w:keepNext/>
      </w:pPr>
      <w:r>
        <w:t>South Bank University, London, in Kooperation mit der Hochschule Mainz</w:t>
      </w:r>
    </w:p>
    <w:p>
      <w:pPr>
        <w:spacing w:after="80"/>
      </w:pPr>
      <w:r>
        <w:t>Schwerpunkte European Law and Economy sowie Staatswissenschaften; Masterarbeit: „Merger Control in the European Community“ (Investment Banking).</w:t>
      </w:r>
    </w:p>
    <w:p>
      <w:pPr>
        <w:pStyle w:val="Role"/>
        <w:tabs>
          <w:tab w:pos="9865" w:val="right"/>
        </w:tabs>
        <w:keepLines/>
        <w:keepNext/>
      </w:pPr>
      <w:r>
        <w:rPr>
          <w:rFonts w:ascii="Arial" w:hAnsi="Arial" w:eastAsia="Arial"/>
          <w:b/>
          <w:color w:val="173A5E"/>
          <w:sz w:val="21"/>
        </w:rPr>
        <w:t>Auslandsstudium</w:t>
      </w:r>
      <w:r>
        <w:tab/>
      </w:r>
      <w:r>
        <w:rPr>
          <w:rFonts w:ascii="Arial" w:hAnsi="Arial" w:eastAsia="Arial"/>
          <w:b/>
          <w:color w:val="167D89"/>
          <w:sz w:val="17"/>
        </w:rPr>
        <w:t>1990</w:t>
      </w:r>
    </w:p>
    <w:p>
      <w:pPr>
        <w:pStyle w:val="Organization"/>
        <w:keepLines/>
        <w:keepNext/>
      </w:pPr>
      <w:r>
        <w:t>University of Wolverhampton, Großbritannien</w:t>
      </w:r>
    </w:p>
    <w:p>
      <w:pPr>
        <w:spacing w:after="80"/>
      </w:pPr>
      <w:r>
        <w:t>Studienaufenthalt im Rahmen des BWL-Studiums.</w:t>
      </w:r>
    </w:p>
    <w:p>
      <w:pPr>
        <w:pStyle w:val="Role"/>
        <w:tabs>
          <w:tab w:pos="9865" w:val="right"/>
        </w:tabs>
        <w:keepLines/>
        <w:keepNext/>
      </w:pPr>
      <w:r>
        <w:rPr>
          <w:rFonts w:ascii="Arial" w:hAnsi="Arial" w:eastAsia="Arial"/>
          <w:b/>
          <w:color w:val="173A5E"/>
          <w:sz w:val="21"/>
        </w:rPr>
        <w:t>Diplom-Betriebswirt (FH)</w:t>
      </w:r>
      <w:r>
        <w:tab/>
      </w:r>
      <w:r>
        <w:rPr>
          <w:rFonts w:ascii="Arial" w:hAnsi="Arial" w:eastAsia="Arial"/>
          <w:b/>
          <w:color w:val="167D89"/>
          <w:sz w:val="17"/>
        </w:rPr>
        <w:t>10/1988 – 07/1992</w:t>
      </w:r>
    </w:p>
    <w:p>
      <w:pPr>
        <w:pStyle w:val="Organization"/>
        <w:keepLines/>
        <w:keepNext/>
      </w:pPr>
      <w:r>
        <w:t>Fachhochschule Regensburg / OTH Regensburg</w:t>
      </w:r>
    </w:p>
    <w:p>
      <w:pPr>
        <w:spacing w:after="80"/>
      </w:pPr>
      <w:r>
        <w:t>Schwerpunkt Marketing; Diplomarbeit zum Tabakwerbeverbot der Europäischen Gemeinschaften (Note 1,0); Abschlussnote 2,3.</w:t>
      </w:r>
    </w:p>
    <w:p>
      <w:pPr>
        <w:pStyle w:val="Heading1"/>
        <w:pageBreakBefore w:val="0"/>
        <w:pBdr>
          <w:bottom w:val="single" w:sz="7" w:space="3" w:color="167D89"/>
        </w:pBdr>
        <w:keepLines/>
        <w:keepNext/>
      </w:pPr>
      <w:r>
        <w:t>ZERTIFIZIERUNGEN &amp; METHODEN</w:t>
      </w:r>
    </w:p>
    <w:p>
      <w:pPr>
        <w:widowControl/>
        <w:numPr>
          <w:ilvl w:val="0"/>
          <w:numId w:val="10"/>
        </w:numPr>
        <w:spacing w:before="0" w:after="60" w:line="252" w:lineRule="auto"/>
      </w:pPr>
      <w:r>
        <w:rPr>
          <w:rFonts w:ascii="Arial" w:hAnsi="Arial" w:eastAsia="Arial"/>
          <w:color w:val="1E252B"/>
        </w:rPr>
        <w:t>ITIL 4 Managing Professional · ITIL v3 Expert · PRINCE2 · Scrum Master</w:t>
      </w:r>
    </w:p>
    <w:p>
      <w:pPr>
        <w:widowControl/>
        <w:numPr>
          <w:ilvl w:val="0"/>
          <w:numId w:val="10"/>
        </w:numPr>
        <w:spacing w:before="0" w:after="60" w:line="252" w:lineRule="auto"/>
      </w:pPr>
      <w:r>
        <w:rPr>
          <w:rFonts w:ascii="Arial" w:hAnsi="Arial" w:eastAsia="Arial"/>
          <w:color w:val="1E252B"/>
        </w:rPr>
        <w:t>FIM-Methodenexperte · COBIT Auditor · EFQM · Six Sigma</w:t>
      </w:r>
    </w:p>
    <w:p>
      <w:pPr>
        <w:widowControl/>
        <w:numPr>
          <w:ilvl w:val="0"/>
          <w:numId w:val="10"/>
        </w:numPr>
        <w:spacing w:before="0" w:after="60" w:line="252" w:lineRule="auto"/>
      </w:pPr>
      <w:r>
        <w:rPr>
          <w:rFonts w:ascii="Arial" w:hAnsi="Arial" w:eastAsia="Arial"/>
          <w:color w:val="1E252B"/>
        </w:rPr>
        <w:t>Praxis in IT-Governance, ISO 27001, Datenschutz, Risiko- und Compliance-Management</w:t>
      </w:r>
    </w:p>
    <w:p>
      <w:pPr>
        <w:pStyle w:val="Heading1"/>
        <w:pageBreakBefore w:val="0"/>
        <w:pBdr>
          <w:bottom w:val="single" w:sz="7" w:space="3" w:color="167D89"/>
        </w:pBdr>
        <w:keepLines/>
        <w:keepNext/>
      </w:pPr>
      <w:r>
        <w:t>GREMIEN, ENGAGEMENT &amp; PUBLIKATIONEN</w:t>
      </w:r>
    </w:p>
    <w:p>
      <w:pPr>
        <w:widowControl/>
        <w:numPr>
          <w:ilvl w:val="0"/>
          <w:numId w:val="10"/>
        </w:numPr>
        <w:spacing w:before="0" w:after="60" w:line="252" w:lineRule="auto"/>
      </w:pPr>
      <w:r>
        <w:rPr>
          <w:rFonts w:ascii="Arial" w:hAnsi="Arial" w:eastAsia="Arial"/>
          <w:color w:val="1E252B"/>
        </w:rPr>
        <w:t>Gründer und Leiter der NExT Community of Practice Robotic Process Automation; Themenausweitung auf Low-Code und KI in der Verwaltung.</w:t>
      </w:r>
    </w:p>
    <w:p>
      <w:pPr>
        <w:widowControl/>
        <w:numPr>
          <w:ilvl w:val="0"/>
          <w:numId w:val="10"/>
        </w:numPr>
        <w:spacing w:before="0" w:after="60" w:line="252" w:lineRule="auto"/>
      </w:pPr>
      <w:r>
        <w:rPr>
          <w:rFonts w:ascii="Arial" w:hAnsi="Arial" w:eastAsia="Arial"/>
          <w:color w:val="1E252B"/>
        </w:rPr>
        <w:t>Fachliche Mitwirkung und Repräsentanz in Formaten der AWV, Initiative D21, NExT und des Behörden Spiegel sowie in föderalen Konsultations- und Architekturprozessen.</w:t>
      </w:r>
    </w:p>
    <w:p>
      <w:pPr>
        <w:widowControl/>
        <w:numPr>
          <w:ilvl w:val="0"/>
          <w:numId w:val="10"/>
        </w:numPr>
        <w:spacing w:before="0" w:after="60" w:line="252" w:lineRule="auto"/>
      </w:pPr>
      <w:r>
        <w:rPr>
          <w:rFonts w:ascii="Arial" w:hAnsi="Arial" w:eastAsia="Arial"/>
          <w:color w:val="1E252B"/>
        </w:rPr>
        <w:t>Beiträge zu OZG-Rahmenarchitektur, Registermodernisierung, digitalen Identitäten und Verwaltungscloud; Impulsbeiträge im eGovernment MONITOR 2022/2023 und Beitrag zum Umfeld der Publikation „NEUSTAAT“.</w:t>
      </w:r>
    </w:p>
    <w:p>
      <w:pPr>
        <w:pStyle w:val="Heading1"/>
        <w:pageBreakBefore w:val="0"/>
        <w:pBdr>
          <w:bottom w:val="single" w:sz="7" w:space="3" w:color="167D89"/>
        </w:pBdr>
        <w:keepLines/>
        <w:keepNext/>
      </w:pPr>
      <w:r>
        <w:t>SPRACHEN</w:t>
      </w:r>
    </w:p>
    <w:p>
      <w:pPr>
        <w:spacing w:after="0"/>
      </w:pPr>
      <w:r>
        <w:t>Deutsch – Muttersprache · Englisch – sehr gute berufliche Kenntnisse</w:t>
      </w:r>
    </w:p>
    <w:sectPr>
      <w:headerReference w:type="default" r:id="rId9"/>
      <w:headerReference w:type="first" r:id="rId10"/>
      <w:footerReference w:type="default" r:id="rId11"/>
      <w:pgSz w:w="11906" w:h="16838"/>
      <w:pgMar w:top="850" w:right="1020" w:bottom="907" w:left="1020" w:header="397" w:footer="425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865" w:val="right"/>
      </w:tabs>
      <w:spacing w:before="0" w:after="0"/>
    </w:pPr>
    <w:r>
      <w:rPr>
        <w:rFonts w:ascii="Arial" w:hAnsi="Arial" w:eastAsia="Arial"/>
        <w:color w:val="66717A"/>
        <w:sz w:val="14"/>
      </w:rPr>
      <w:t>mn@neidel.eu · +49 172 9818176</w:t>
    </w:r>
    <w:r>
      <w:tab/>
    </w:r>
    <w:r>
      <w:rPr>
        <w:rFonts w:ascii="Arial" w:hAnsi="Arial" w:eastAsia="Arial"/>
        <w:color w:val="66717A"/>
        <w:sz w:val="14"/>
      </w:rPr>
      <w:t xml:space="preserve">Lebenslauf · </w:t>
    </w:r>
    <w:r>
      <w:rPr>
        <w:rFonts w:ascii="Arial" w:hAnsi="Arial" w:eastAsia="Arial"/>
        <w:color w:val="66717A"/>
        <w:sz w:val="14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/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lvlJc w:val="left"/>
      <w:pPr>
        <w:tabs>
          <w:tab w:val="num" w:pos="540"/>
        </w:tabs>
        <w:ind w:left="540" w:hanging="270"/>
        <w:spacing w:after="60" w:line="252" w:lineRule="auto"/>
      </w:pPr>
      <w:rPr>
        <w:rFonts w:ascii="Arial" w:hAnsi="Arial"/>
        <w:color w:val="167D89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68" w:line="259" w:lineRule="auto"/>
    </w:pPr>
    <w:rPr>
      <w:rFonts w:ascii="Arial" w:hAnsi="Arial"/>
      <w:color w:val="1E252B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rial" w:hAnsi="Arial"/>
      <w:b/>
      <w:bCs/>
      <w:caps/>
      <w:color w:val="173A5E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40"/>
      <w:outlineLvl w:val="1"/>
    </w:pPr>
    <w:rPr>
      <w:rFonts w:asciiTheme="majorHAnsi" w:eastAsiaTheme="majorEastAsia" w:hAnsiTheme="majorHAnsi" w:cstheme="majorBidi" w:ascii="Arial" w:hAnsi="Arial"/>
      <w:b/>
      <w:bCs/>
      <w:color w:val="173A5E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173A5E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140"/>
    </w:pPr>
    <w:rPr>
      <w:rFonts w:asciiTheme="majorHAnsi" w:eastAsiaTheme="majorEastAsia" w:hAnsiTheme="majorHAnsi" w:cstheme="majorBidi" w:ascii="Arial" w:hAnsi="Arial"/>
      <w:b/>
      <w:i/>
      <w:iCs/>
      <w:color w:val="167D89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ole">
    <w:name w:val="Role"/>
    <w:pPr>
      <w:keepNext/>
      <w:spacing w:before="140" w:after="20"/>
    </w:pPr>
    <w:rPr>
      <w:rFonts w:ascii="Arial" w:hAnsi="Arial"/>
      <w:b/>
      <w:color w:val="173A5E"/>
      <w:sz w:val="22"/>
    </w:rPr>
  </w:style>
  <w:style w:type="paragraph" w:customStyle="1" w:styleId="Organization">
    <w:name w:val="Organization"/>
    <w:pPr>
      <w:keepNext/>
      <w:spacing w:before="0" w:after="60"/>
    </w:pPr>
    <w:rPr>
      <w:rFonts w:ascii="Arial" w:hAnsi="Arial"/>
      <w:i/>
      <w:color w:val="66717A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 Manfred Neidel</dc:title>
  <dc:subject>Executive CV</dc:subject>
  <dc:creator/>
  <cp:keywords>Digital Transformation, IT, Business Development, Leadership, Public Sector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