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pPr>
      <w:r>
        <w:t>Manfred Neidel</w:t>
      </w:r>
    </w:p>
    <w:p>
      <w:pPr>
        <w:pStyle w:val="Subtitle"/>
        <w:pBdr>
          <w:bottom w:val="single" w:sz="10" w:space="8" w:color="167D89"/>
        </w:pBdr>
      </w:pPr>
      <w:r>
        <w:t>Executive Manager | Digital Transformation · IT · Digital Business Models · Public Sector</w:t>
      </w:r>
    </w:p>
    <w:p>
      <w:pPr>
        <w:spacing w:before="80" w:after="20"/>
      </w:pPr>
      <w:r>
        <w:rPr>
          <w:rFonts w:ascii="Arial" w:hAnsi="Arial" w:eastAsia="Arial"/>
          <w:color w:val="66717A"/>
          <w:sz w:val="17"/>
        </w:rPr>
        <w:t>Kirchstrasse 32 · 82054 Sauerlach, Germany · +49 172 9818176 · mn@neidel.eu</w:t>
      </w:r>
    </w:p>
    <w:p>
      <w:pPr>
        <w:spacing w:after="140"/>
      </w:pPr>
      <w:r>
        <w:rPr>
          <w:rFonts w:ascii="Arial" w:hAnsi="Arial" w:eastAsia="Arial"/>
          <w:b/>
          <w:color w:val="167D89"/>
          <w:sz w:val="17"/>
        </w:rPr>
        <w:t>manfred-neidel.de · cloudero.de · linkedin.com/in/neidel-manfred</w:t>
      </w:r>
    </w:p>
    <w:p>
      <w:pPr>
        <w:pStyle w:val="Heading1"/>
        <w:pageBreakBefore w:val="0"/>
        <w:pBdr>
          <w:bottom w:val="single" w:sz="7" w:space="3" w:color="167D89"/>
        </w:pBdr>
        <w:keepLines/>
        <w:keepNext/>
      </w:pPr>
      <w:r>
        <w:t>EXECUTIVE PROFILE</w:t>
      </w:r>
    </w:p>
    <w:p>
      <w:pPr>
        <w:spacing w:after="120"/>
      </w:pPr>
      <w:r>
        <w:t>Executive manager and business graduate with more than 30 years of experience in IT, digital transformation, business model development and operational leadership. Extensive responsibility at management board, executive director and divisional level – spanning IT, operations and finance as well as sales, service, product management and digital government. Combines sound technology judgement with commercial accountability, confident stakeholder management and a collaborative, clear leadership style. Professional, reliable and loyal to the organisation, its mandate and its people.</w:t>
      </w:r>
    </w:p>
    <w:p>
      <w:pPr>
        <w:pStyle w:val="Heading1"/>
        <w:pageBreakBefore w:val="0"/>
        <w:pBdr>
          <w:bottom w:val="single" w:sz="7" w:space="3" w:color="167D89"/>
        </w:pBdr>
        <w:keepLines/>
        <w:keepNext/>
      </w:pPr>
      <w:r>
        <w:t>CORE EXPERTISE</w:t>
      </w:r>
    </w:p>
    <w:p>
      <w:pPr>
        <w:numPr>
          <w:ilvl w:val="0"/>
          <w:numId w:val="10"/>
        </w:numPr>
        <w:spacing w:before="0" w:after="48" w:line="247" w:lineRule="auto"/>
      </w:pPr>
      <w:r>
        <w:rPr>
          <w:rFonts w:ascii="Arial" w:hAnsi="Arial" w:eastAsia="Arial"/>
          <w:b/>
          <w:color w:val="173A5E"/>
          <w:sz w:val="18"/>
        </w:rPr>
        <w:t xml:space="preserve">Digital strategy &amp; business models — </w:t>
      </w:r>
      <w:r>
        <w:rPr>
          <w:rFonts w:ascii="Arial" w:hAnsi="Arial" w:eastAsia="Arial"/>
          <w:color w:val="1E252B"/>
          <w:sz w:val="18"/>
        </w:rPr>
        <w:t>business ideation, business development, portfolio and product strategy, SaaS and cloud services</w:t>
      </w:r>
    </w:p>
    <w:p>
      <w:pPr>
        <w:numPr>
          <w:ilvl w:val="0"/>
          <w:numId w:val="10"/>
        </w:numPr>
        <w:spacing w:before="0" w:after="48" w:line="247" w:lineRule="auto"/>
      </w:pPr>
      <w:r>
        <w:rPr>
          <w:rFonts w:ascii="Arial" w:hAnsi="Arial" w:eastAsia="Arial"/>
          <w:b/>
          <w:color w:val="173A5E"/>
          <w:sz w:val="18"/>
        </w:rPr>
        <w:t xml:space="preserve">IT management — </w:t>
      </w:r>
      <w:r>
        <w:rPr>
          <w:rFonts w:ascii="Arial" w:hAnsi="Arial" w:eastAsia="Arial"/>
          <w:color w:val="1E252B"/>
          <w:sz w:val="18"/>
        </w:rPr>
        <w:t>IT strategy, architecture, high-availability infrastructure, SAP/Oracle, ITSM, security and provider management</w:t>
      </w:r>
    </w:p>
    <w:p>
      <w:pPr>
        <w:numPr>
          <w:ilvl w:val="0"/>
          <w:numId w:val="10"/>
        </w:numPr>
        <w:spacing w:before="0" w:after="48" w:line="247" w:lineRule="auto"/>
      </w:pPr>
      <w:r>
        <w:rPr>
          <w:rFonts w:ascii="Arial" w:hAnsi="Arial" w:eastAsia="Arial"/>
          <w:b/>
          <w:color w:val="173A5E"/>
          <w:sz w:val="18"/>
        </w:rPr>
        <w:t xml:space="preserve">Digital government — </w:t>
      </w:r>
      <w:r>
        <w:rPr>
          <w:rFonts w:ascii="Arial" w:hAnsi="Arial" w:eastAsia="Arial"/>
          <w:color w:val="1E252B"/>
          <w:sz w:val="18"/>
        </w:rPr>
        <w:t>federal, state and municipal levels; digital identities, register modernisation, federal architectures and cloud ecosystems</w:t>
      </w:r>
    </w:p>
    <w:p>
      <w:pPr>
        <w:numPr>
          <w:ilvl w:val="0"/>
          <w:numId w:val="10"/>
        </w:numPr>
        <w:spacing w:before="0" w:after="48" w:line="247" w:lineRule="auto"/>
      </w:pPr>
      <w:r>
        <w:rPr>
          <w:rFonts w:ascii="Arial" w:hAnsi="Arial" w:eastAsia="Arial"/>
          <w:b/>
          <w:color w:val="173A5E"/>
          <w:sz w:val="18"/>
        </w:rPr>
        <w:t xml:space="preserve">Leadership &amp; transformation — </w:t>
      </w:r>
      <w:r>
        <w:rPr>
          <w:rFonts w:ascii="Arial" w:hAnsi="Arial" w:eastAsia="Arial"/>
          <w:color w:val="1E252B"/>
          <w:sz w:val="18"/>
        </w:rPr>
        <w:t>values-based leadership, reorganisations, mergers, change, team development and lateral leadership</w:t>
      </w:r>
    </w:p>
    <w:p>
      <w:pPr>
        <w:numPr>
          <w:ilvl w:val="0"/>
          <w:numId w:val="10"/>
        </w:numPr>
        <w:spacing w:before="0" w:after="48" w:line="247" w:lineRule="auto"/>
      </w:pPr>
      <w:r>
        <w:rPr>
          <w:rFonts w:ascii="Arial" w:hAnsi="Arial" w:eastAsia="Arial"/>
          <w:b/>
          <w:color w:val="173A5E"/>
          <w:sz w:val="18"/>
        </w:rPr>
        <w:t xml:space="preserve">Corporate management — </w:t>
      </w:r>
      <w:r>
        <w:rPr>
          <w:rFonts w:ascii="Arial" w:hAnsi="Arial" w:eastAsia="Arial"/>
          <w:color w:val="1E252B"/>
          <w:sz w:val="18"/>
        </w:rPr>
        <w:t>P&amp;L, finance, controlling, governance, risk, compliance, procurement and contract management</w:t>
      </w:r>
    </w:p>
    <w:p>
      <w:pPr>
        <w:numPr>
          <w:ilvl w:val="0"/>
          <w:numId w:val="10"/>
        </w:numPr>
        <w:spacing w:before="0" w:after="48" w:line="247" w:lineRule="auto"/>
      </w:pPr>
      <w:r>
        <w:rPr>
          <w:rFonts w:ascii="Arial" w:hAnsi="Arial" w:eastAsia="Arial"/>
          <w:b/>
          <w:color w:val="173A5E"/>
          <w:sz w:val="18"/>
        </w:rPr>
        <w:t xml:space="preserve">Innovation, market &amp; customer — </w:t>
      </w:r>
      <w:r>
        <w:rPr>
          <w:rFonts w:ascii="Arial" w:hAnsi="Arial" w:eastAsia="Arial"/>
          <w:color w:val="1E252B"/>
          <w:sz w:val="18"/>
        </w:rPr>
        <w:t>AI, data science, RPA, low-code, e-commerce, customer experience, CRM and service design</w:t>
      </w:r>
    </w:p>
    <w:p>
      <w:pPr>
        <w:numPr>
          <w:ilvl w:val="0"/>
          <w:numId w:val="10"/>
        </w:numPr>
        <w:spacing w:before="0" w:after="48" w:line="247" w:lineRule="auto"/>
      </w:pPr>
      <w:r>
        <w:rPr>
          <w:rFonts w:ascii="Arial" w:hAnsi="Arial" w:eastAsia="Arial"/>
          <w:b/>
          <w:color w:val="173A5E"/>
          <w:sz w:val="18"/>
        </w:rPr>
        <w:t xml:space="preserve">Programme &amp; stakeholder management — </w:t>
      </w:r>
      <w:r>
        <w:rPr>
          <w:rFonts w:ascii="Arial" w:hAnsi="Arial" w:eastAsia="Arial"/>
          <w:color w:val="1E252B"/>
          <w:sz w:val="18"/>
        </w:rPr>
        <w:t>complex initiatives, consortia, procurement and partnerships in political and regulated environments</w:t>
      </w:r>
    </w:p>
    <w:p>
      <w:pPr>
        <w:pStyle w:val="Heading1"/>
        <w:pageBreakBefore w:val="0"/>
        <w:pBdr>
          <w:bottom w:val="single" w:sz="7" w:space="3" w:color="167D89"/>
        </w:pBdr>
        <w:keepLines/>
        <w:keepNext/>
      </w:pPr>
      <w:r>
        <w:t>MANAGEMENT AT A GLANCE</w:t>
      </w:r>
    </w:p>
    <w:p>
      <w:pPr>
        <w:shd w:fill="EEF3F5" w:val="clear"/>
        <w:spacing w:before="40" w:after="120" w:line="259" w:lineRule="auto"/>
        <w:ind w:left="160" w:right="160"/>
      </w:pPr>
      <w:r>
        <w:rPr>
          <w:rFonts w:ascii="Arial" w:hAnsi="Arial" w:eastAsia="Arial"/>
          <w:b/>
          <w:color w:val="167D89"/>
          <w:sz w:val="15"/>
        </w:rPr>
        <w:t xml:space="preserve">◆  </w:t>
      </w:r>
      <w:r>
        <w:rPr>
          <w:rFonts w:ascii="Arial" w:hAnsi="Arial" w:eastAsia="Arial"/>
          <w:color w:val="1E252B"/>
          <w:sz w:val="17"/>
        </w:rPr>
        <w:t>Leadership of organisations with more than 100 employees, including 15 direct reports</w:t>
      </w:r>
      <w:r>
        <w:br/>
      </w:r>
      <w:r>
        <w:rPr>
          <w:rFonts w:ascii="Arial" w:hAnsi="Arial" w:eastAsia="Arial"/>
          <w:b/>
          <w:color w:val="167D89"/>
          <w:sz w:val="15"/>
        </w:rPr>
        <w:t xml:space="preserve">◆  </w:t>
      </w:r>
      <w:r>
        <w:rPr>
          <w:rFonts w:ascii="Arial" w:hAnsi="Arial" w:eastAsia="Arial"/>
          <w:color w:val="1E252B"/>
          <w:sz w:val="17"/>
        </w:rPr>
        <w:t>Management board responsibility for IT, operations and finance (CIO/COO/CFO), including P&amp;L accountability</w:t>
      </w:r>
      <w:r>
        <w:br/>
      </w:r>
      <w:r>
        <w:rPr>
          <w:rFonts w:ascii="Arial" w:hAnsi="Arial" w:eastAsia="Arial"/>
          <w:b/>
          <w:color w:val="167D89"/>
          <w:sz w:val="15"/>
        </w:rPr>
        <w:t xml:space="preserve">◆  </w:t>
      </w:r>
      <w:r>
        <w:rPr>
          <w:rFonts w:ascii="Arial" w:hAnsi="Arial" w:eastAsia="Arial"/>
          <w:color w:val="1E252B"/>
          <w:sz w:val="17"/>
        </w:rPr>
        <w:t>Direction of programmes up to EUR 25 million; demonstrated outcomes include a 30% productivity increase in software development</w:t>
      </w:r>
    </w:p>
    <w:p>
      <w:pPr>
        <w:pStyle w:val="Heading1"/>
        <w:pageBreakBefore w:val="0"/>
        <w:pBdr>
          <w:bottom w:val="single" w:sz="7" w:space="3" w:color="167D89"/>
        </w:pBdr>
        <w:keepLines/>
        <w:keepNext/>
      </w:pPr>
      <w:r>
        <w:t>PROFESSIONAL EXPERIENCE</w:t>
      </w:r>
    </w:p>
    <w:p>
      <w:pPr>
        <w:pStyle w:val="Role"/>
        <w:tabs>
          <w:tab w:pos="9865" w:val="right"/>
        </w:tabs>
        <w:keepLines/>
        <w:keepNext/>
      </w:pPr>
      <w:r>
        <w:rPr>
          <w:rFonts w:ascii="Arial" w:hAnsi="Arial" w:eastAsia="Arial"/>
          <w:b/>
          <w:color w:val="173A5E"/>
          <w:sz w:val="22"/>
        </w:rPr>
        <w:t>Strategy &amp; Business Development – Federal and State Government</w:t>
      </w:r>
      <w:r>
        <w:tab/>
      </w:r>
      <w:r>
        <w:rPr>
          <w:rFonts w:ascii="Arial" w:hAnsi="Arial" w:eastAsia="Arial"/>
          <w:b/>
          <w:color w:val="167D89"/>
          <w:sz w:val="17"/>
        </w:rPr>
        <w:t>Apr 2019 – present</w:t>
      </w:r>
    </w:p>
    <w:p>
      <w:pPr>
        <w:pStyle w:val="Organization"/>
        <w:keepLines/>
        <w:keepNext/>
      </w:pPr>
      <w:r>
        <w:t>Digital Administration Staff Unit | AKDB – Municipal Data Processing Authority in Bavaria, Munich</w:t>
      </w:r>
    </w:p>
    <w:p>
      <w:pPr>
        <w:spacing w:after="60"/>
        <w:keepLines/>
        <w:keepNext/>
      </w:pPr>
      <w:r>
        <w:t>Strategic and operational development of AKDB's digital government portfolio; advisory and representative responsibilities towards ministries, federal and state authorities, municipalities, committees and partners.</w:t>
      </w:r>
    </w:p>
    <w:p>
      <w:pPr>
        <w:widowControl/>
        <w:numPr>
          <w:ilvl w:val="0"/>
          <w:numId w:val="10"/>
        </w:numPr>
        <w:spacing w:before="0" w:after="60" w:line="252" w:lineRule="auto"/>
        <w:keepLines/>
      </w:pPr>
      <w:r>
        <w:rPr>
          <w:rFonts w:ascii="Arial" w:hAnsi="Arial" w:eastAsia="Arial"/>
          <w:color w:val="1E252B"/>
        </w:rPr>
        <w:t>Initiation and development of digital business models, service offerings, partnerships and consortium approaches for federal and state government, connecting strategy, architecture, governance, operations and go-to-market design.</w:t>
      </w:r>
    </w:p>
    <w:p>
      <w:pPr>
        <w:widowControl/>
        <w:numPr>
          <w:ilvl w:val="0"/>
          <w:numId w:val="10"/>
        </w:numPr>
        <w:spacing w:before="0" w:after="60" w:line="252" w:lineRule="auto"/>
        <w:keepLines/>
      </w:pPr>
      <w:r>
        <w:rPr>
          <w:rFonts w:ascii="Arial" w:hAnsi="Arial" w:eastAsia="Arial"/>
          <w:color w:val="1E252B"/>
        </w:rPr>
        <w:t>Subject-matter focus: register modernisation and evidence exchange based on the four-corner model, digital identities and the EUDI Wallet, OZG reference architecture, FIT-Connect, the German Administration Cloud and sovereign managed services.</w:t>
      </w:r>
    </w:p>
    <w:p>
      <w:pPr>
        <w:widowControl/>
        <w:numPr>
          <w:ilvl w:val="0"/>
          <w:numId w:val="10"/>
        </w:numPr>
        <w:spacing w:before="0" w:after="60" w:line="252" w:lineRule="auto"/>
        <w:keepLines/>
      </w:pPr>
      <w:r>
        <w:rPr>
          <w:rFonts w:ascii="Arial" w:hAnsi="Arial" w:eastAsia="Arial"/>
          <w:color w:val="1E252B"/>
        </w:rPr>
        <w:t>Development and support of innovation initiatives in AI, RPA, low-code, hyperautomation, process management, document management and end-to-end integration.</w:t>
      </w:r>
    </w:p>
    <w:p>
      <w:pPr>
        <w:widowControl/>
        <w:numPr>
          <w:ilvl w:val="0"/>
          <w:numId w:val="10"/>
        </w:numPr>
        <w:spacing w:before="0" w:after="60" w:line="252" w:lineRule="auto"/>
      </w:pPr>
      <w:r>
        <w:rPr>
          <w:rFonts w:ascii="Arial" w:hAnsi="Arial" w:eastAsia="Arial"/>
          <w:color w:val="1E252B"/>
        </w:rPr>
        <w:t>Stakeholder and committee management across federal, state and municipal government, public IT providers, associations and technology partners; preparation of strategic decision papers and representation of AKDB. Selected initiatives: Register-as-a-Service, cloud ecosystems, Atlassian-as-a-Service, EUDI operations, a low-code service centre and Bavarian register-modernisation pilots.</w:t>
      </w:r>
    </w:p>
    <w:p>
      <w:pPr>
        <w:pStyle w:val="Heading1"/>
        <w:pageBreakBefore/>
        <w:pBdr>
          <w:bottom w:val="single" w:sz="7" w:space="3" w:color="167D89"/>
        </w:pBdr>
        <w:keepLines/>
        <w:keepNext/>
      </w:pPr>
      <w:r>
        <w:t>PROFESSIONAL EXPERIENCE · 2</w:t>
      </w:r>
    </w:p>
    <w:p>
      <w:pPr>
        <w:pStyle w:val="Role"/>
        <w:tabs>
          <w:tab w:pos="9865" w:val="right"/>
        </w:tabs>
        <w:keepLines/>
        <w:keepNext/>
      </w:pPr>
      <w:r>
        <w:rPr>
          <w:rFonts w:ascii="Arial" w:hAnsi="Arial" w:eastAsia="Arial"/>
          <w:b/>
          <w:color w:val="173A5E"/>
          <w:sz w:val="22"/>
        </w:rPr>
        <w:t>Founder &amp; Interim Manager</w:t>
      </w:r>
      <w:r>
        <w:tab/>
      </w:r>
      <w:r>
        <w:rPr>
          <w:rFonts w:ascii="Arial" w:hAnsi="Arial" w:eastAsia="Arial"/>
          <w:b/>
          <w:color w:val="167D89"/>
          <w:sz w:val="17"/>
        </w:rPr>
        <w:t>2015 – Apr 2019</w:t>
      </w:r>
    </w:p>
    <w:p>
      <w:pPr>
        <w:pStyle w:val="Organization"/>
        <w:keepLines/>
        <w:keepNext/>
      </w:pPr>
      <w:r>
        <w:t>Manfred Neidel Consulting – Digitalisation · Interim Management · IT</w:t>
      </w:r>
    </w:p>
    <w:p>
      <w:pPr>
        <w:spacing w:after="60"/>
        <w:keepLines/>
        <w:keepNext/>
      </w:pPr>
      <w:r>
        <w:t>Interim management and consulting at senior-management level, focused on digital transformation, IT management, commercial leadership and business model development.</w:t>
      </w:r>
    </w:p>
    <w:p>
      <w:pPr>
        <w:widowControl/>
        <w:numPr>
          <w:ilvl w:val="0"/>
          <w:numId w:val="10"/>
        </w:numPr>
        <w:spacing w:before="0" w:after="60" w:line="252" w:lineRule="auto"/>
        <w:keepLines/>
      </w:pPr>
      <w:r>
        <w:rPr>
          <w:rFonts w:ascii="Arial" w:hAnsi="Arial" w:eastAsia="Arial"/>
          <w:color w:val="1E252B"/>
        </w:rPr>
        <w:t>Strategy development and execution, IT reorganisation, business development, process and project management, e-commerce and customer experience management.</w:t>
      </w:r>
    </w:p>
    <w:p>
      <w:pPr>
        <w:widowControl/>
        <w:numPr>
          <w:ilvl w:val="0"/>
          <w:numId w:val="10"/>
        </w:numPr>
        <w:spacing w:before="0" w:after="60" w:line="252" w:lineRule="auto"/>
        <w:keepLines/>
      </w:pPr>
      <w:r>
        <w:rPr>
          <w:rFonts w:ascii="Arial" w:hAnsi="Arial" w:eastAsia="Arial"/>
          <w:color w:val="1E252B"/>
        </w:rPr>
        <w:t>Selected engagements: virtual and augmented reality in health-insurance sales, optimisation of a car-sharing provider's customer journey, and a blockchain use case for identification and billing in telecommunications.</w:t>
      </w:r>
    </w:p>
    <w:p>
      <w:pPr>
        <w:widowControl/>
        <w:numPr>
          <w:ilvl w:val="0"/>
          <w:numId w:val="10"/>
        </w:numPr>
        <w:spacing w:before="0" w:after="60" w:line="252" w:lineRule="auto"/>
      </w:pPr>
      <w:r>
        <w:rPr>
          <w:rFonts w:ascii="Arial" w:hAnsi="Arial" w:eastAsia="Arial"/>
          <w:color w:val="1E252B"/>
        </w:rPr>
        <w:t>Leadership in transformation and stabilisation situations with a clear focus on outcomes, implementation and stakeholder alignment.</w:t>
      </w:r>
    </w:p>
    <w:p>
      <w:pPr>
        <w:pStyle w:val="Role"/>
        <w:tabs>
          <w:tab w:pos="9865" w:val="right"/>
        </w:tabs>
        <w:keepLines/>
        <w:keepNext/>
      </w:pPr>
      <w:r>
        <w:rPr>
          <w:rFonts w:ascii="Arial" w:hAnsi="Arial" w:eastAsia="Arial"/>
          <w:b/>
          <w:color w:val="173A5E"/>
          <w:sz w:val="22"/>
        </w:rPr>
        <w:t>Executive Board Member (CIO/COO/CFO) – IT, Operations &amp; Finance</w:t>
      </w:r>
      <w:r>
        <w:tab/>
      </w:r>
      <w:r>
        <w:rPr>
          <w:rFonts w:ascii="Arial" w:hAnsi="Arial" w:eastAsia="Arial"/>
          <w:b/>
          <w:color w:val="167D89"/>
          <w:sz w:val="17"/>
        </w:rPr>
        <w:t>Jul 2012 – Oct 2014</w:t>
      </w:r>
    </w:p>
    <w:p>
      <w:pPr>
        <w:pStyle w:val="Organization"/>
        <w:keepLines/>
        <w:keepNext/>
      </w:pPr>
      <w:r>
        <w:t>GKL Joint Class Lottery of the German States, Munich/Hamburg</w:t>
      </w:r>
    </w:p>
    <w:p>
      <w:pPr>
        <w:spacing w:after="60"/>
        <w:keepLines/>
        <w:keepNext/>
      </w:pPr>
      <w:r>
        <w:t>Management board responsibility for IT, operations and finance at a public-law institution owned by the German states; total assets of EUR 148 million.</w:t>
      </w:r>
    </w:p>
    <w:p>
      <w:pPr>
        <w:widowControl/>
        <w:numPr>
          <w:ilvl w:val="0"/>
          <w:numId w:val="10"/>
        </w:numPr>
        <w:spacing w:before="0" w:after="60" w:line="252" w:lineRule="auto"/>
        <w:keepLines/>
      </w:pPr>
      <w:r>
        <w:rPr>
          <w:rFonts w:ascii="Arial" w:hAnsi="Arial" w:eastAsia="Arial"/>
          <w:color w:val="1E252B"/>
        </w:rPr>
        <w:t>Led IT, finance and operations across Munich and Hamburg with P&amp;L, budget and results accountability.</w:t>
      </w:r>
    </w:p>
    <w:p>
      <w:pPr>
        <w:widowControl/>
        <w:numPr>
          <w:ilvl w:val="0"/>
          <w:numId w:val="10"/>
        </w:numPr>
        <w:spacing w:before="0" w:after="60" w:line="252" w:lineRule="auto"/>
        <w:keepLines/>
      </w:pPr>
      <w:r>
        <w:rPr>
          <w:rFonts w:ascii="Arial" w:hAnsi="Arial" w:eastAsia="Arial"/>
          <w:color w:val="1E252B"/>
        </w:rPr>
        <w:t>Shaped the post-merger transformation, realigning organisation, technology and the business model while working closely with state owners and supervisory authorities.</w:t>
      </w:r>
    </w:p>
    <w:p>
      <w:pPr>
        <w:widowControl/>
        <w:numPr>
          <w:ilvl w:val="0"/>
          <w:numId w:val="10"/>
        </w:numPr>
        <w:spacing w:before="0" w:after="60" w:line="252" w:lineRule="auto"/>
        <w:keepLines/>
      </w:pPr>
      <w:r>
        <w:rPr>
          <w:rFonts w:ascii="Arial" w:hAnsi="Arial" w:eastAsia="Arial"/>
          <w:color w:val="1E252B"/>
        </w:rPr>
        <w:t>Accountable for high-availability infrastructure across four data centres, Oracle and SAP environments, virtualisation, IT security, ITIL-based service management, outsourcing and providers.</w:t>
      </w:r>
    </w:p>
    <w:p>
      <w:pPr>
        <w:widowControl/>
        <w:numPr>
          <w:ilvl w:val="0"/>
          <w:numId w:val="10"/>
        </w:numPr>
        <w:spacing w:before="0" w:after="60" w:line="252" w:lineRule="auto"/>
        <w:keepLines/>
      </w:pPr>
      <w:r>
        <w:rPr>
          <w:rFonts w:ascii="Arial" w:hAnsi="Arial" w:eastAsia="Arial"/>
          <w:color w:val="1E252B"/>
        </w:rPr>
        <w:t>Directed the end-to-end SAP implementation and redesigned software delivery, increasing development productivity by 30%.</w:t>
      </w:r>
    </w:p>
    <w:p>
      <w:pPr>
        <w:widowControl/>
        <w:numPr>
          <w:ilvl w:val="0"/>
          <w:numId w:val="10"/>
        </w:numPr>
        <w:spacing w:before="0" w:after="60" w:line="252" w:lineRule="auto"/>
      </w:pPr>
      <w:r>
        <w:rPr>
          <w:rFonts w:ascii="Arial" w:hAnsi="Arial" w:eastAsia="Arial"/>
          <w:color w:val="1E252B"/>
        </w:rPr>
        <w:t>Oversaw accounting, liquidity, tax and corporate reporting; represented the organisation in committees, hearings and industry forums.</w:t>
      </w:r>
    </w:p>
    <w:p>
      <w:pPr>
        <w:pStyle w:val="Role"/>
        <w:tabs>
          <w:tab w:pos="9865" w:val="right"/>
        </w:tabs>
        <w:keepLines/>
        <w:keepNext/>
      </w:pPr>
      <w:r>
        <w:rPr>
          <w:rFonts w:ascii="Arial" w:hAnsi="Arial" w:eastAsia="Arial"/>
          <w:b/>
          <w:color w:val="173A5E"/>
          <w:sz w:val="22"/>
        </w:rPr>
        <w:t>Deputy Executive Director</w:t>
      </w:r>
      <w:r>
        <w:tab/>
      </w:r>
      <w:r>
        <w:rPr>
          <w:rFonts w:ascii="Arial" w:hAnsi="Arial" w:eastAsia="Arial"/>
          <w:b/>
          <w:color w:val="167D89"/>
          <w:sz w:val="17"/>
        </w:rPr>
        <w:t>Oct 2006 – Jun 2012</w:t>
      </w:r>
    </w:p>
    <w:p>
      <w:pPr>
        <w:pStyle w:val="Organization"/>
        <w:keepLines/>
        <w:keepNext/>
      </w:pPr>
      <w:r>
        <w:t>Süddeutsche Klassenlotterie (SKL), Munich</w:t>
      </w:r>
    </w:p>
    <w:p>
      <w:pPr>
        <w:spacing w:after="60"/>
        <w:keepLines/>
        <w:keepNext/>
      </w:pPr>
      <w:r>
        <w:t>Executive leadership and representation of the public-law institution with individual signatory authority; responsible for IT, lottery operations, the customer service centre, draw operations and game-plan development. Annual revenue above EUR 800 million.</w:t>
      </w:r>
    </w:p>
    <w:p>
      <w:pPr>
        <w:widowControl/>
        <w:numPr>
          <w:ilvl w:val="0"/>
          <w:numId w:val="10"/>
        </w:numPr>
        <w:spacing w:before="0" w:after="60" w:line="252" w:lineRule="auto"/>
        <w:keepLines/>
      </w:pPr>
      <w:r>
        <w:rPr>
          <w:rFonts w:ascii="Arial" w:hAnsi="Arial" w:eastAsia="Arial"/>
          <w:color w:val="1E252B"/>
        </w:rPr>
        <w:t>Led IT and lottery operations with 30 of the organisation's 50 employees, including P&amp;L and budget responsibility.</w:t>
      </w:r>
    </w:p>
    <w:p>
      <w:pPr>
        <w:widowControl/>
        <w:numPr>
          <w:ilvl w:val="0"/>
          <w:numId w:val="10"/>
        </w:numPr>
        <w:spacing w:before="0" w:after="60" w:line="252" w:lineRule="auto"/>
        <w:keepLines/>
      </w:pPr>
      <w:r>
        <w:rPr>
          <w:rFonts w:ascii="Arial" w:hAnsi="Arial" w:eastAsia="Arial"/>
          <w:color w:val="1E252B"/>
        </w:rPr>
        <w:t>Digitised and optimised operations through service-oriented architectures; introduced Scrum and transformed development from Oracle PL/SQL to Java.</w:t>
      </w:r>
    </w:p>
    <w:p>
      <w:pPr>
        <w:widowControl/>
        <w:numPr>
          <w:ilvl w:val="0"/>
          <w:numId w:val="10"/>
        </w:numPr>
        <w:spacing w:before="0" w:after="60" w:line="252" w:lineRule="auto"/>
        <w:keepLines/>
      </w:pPr>
      <w:r>
        <w:rPr>
          <w:rFonts w:ascii="Arial" w:hAnsi="Arial" w:eastAsia="Arial"/>
          <w:color w:val="1E252B"/>
        </w:rPr>
        <w:t>Accountable for accounting, risk management, budgeting, cost accounting, controlling and corporate reporting.</w:t>
      </w:r>
    </w:p>
    <w:p>
      <w:pPr>
        <w:widowControl/>
        <w:numPr>
          <w:ilvl w:val="0"/>
          <w:numId w:val="10"/>
        </w:numPr>
        <w:spacing w:before="0" w:after="60" w:line="252" w:lineRule="auto"/>
      </w:pPr>
      <w:r>
        <w:rPr>
          <w:rFonts w:ascii="Arial" w:hAnsi="Arial" w:eastAsia="Arial"/>
          <w:color w:val="1E252B"/>
        </w:rPr>
        <w:t>Expanded the business through new sales and channel partners and product innovation in a highly regulated market.</w:t>
      </w:r>
    </w:p>
    <w:p>
      <w:pPr>
        <w:pStyle w:val="Heading1"/>
        <w:pageBreakBefore/>
        <w:pBdr>
          <w:bottom w:val="single" w:sz="7" w:space="3" w:color="167D89"/>
        </w:pBdr>
        <w:keepLines/>
        <w:keepNext/>
      </w:pPr>
      <w:r>
        <w:t>PROFESSIONAL EXPERIENCE · 3</w:t>
      </w:r>
    </w:p>
    <w:p>
      <w:pPr>
        <w:pStyle w:val="Role"/>
        <w:tabs>
          <w:tab w:pos="9865" w:val="right"/>
        </w:tabs>
        <w:keepLines/>
        <w:keepNext/>
      </w:pPr>
      <w:r>
        <w:rPr>
          <w:rFonts w:ascii="Arial" w:hAnsi="Arial" w:eastAsia="Arial"/>
          <w:b/>
          <w:color w:val="173A5E"/>
          <w:sz w:val="22"/>
        </w:rPr>
        <w:t>Head of Sales &amp; Customer Service | Data Protection Officer (additional role)</w:t>
      </w:r>
      <w:r>
        <w:tab/>
      </w:r>
      <w:r>
        <w:rPr>
          <w:rFonts w:ascii="Arial" w:hAnsi="Arial" w:eastAsia="Arial"/>
          <w:b/>
          <w:color w:val="167D89"/>
          <w:sz w:val="17"/>
        </w:rPr>
        <w:t>Jan 2004 – Sep 2006</w:t>
      </w:r>
    </w:p>
    <w:p>
      <w:pPr>
        <w:pStyle w:val="Organization"/>
        <w:keepLines/>
        <w:keepNext/>
      </w:pPr>
      <w:r>
        <w:t>Günther Direct Services GmbH, Bamberg</w:t>
      </w:r>
    </w:p>
    <w:p>
      <w:pPr>
        <w:spacing w:after="60"/>
        <w:keepLines/>
        <w:keepNext/>
      </w:pPr>
      <w:r>
        <w:t>Led sales, service and marketing with 15 direct reports and more than 100 employees; broad revenue and results accountability.</w:t>
      </w:r>
    </w:p>
    <w:p>
      <w:pPr>
        <w:widowControl/>
        <w:numPr>
          <w:ilvl w:val="0"/>
          <w:numId w:val="10"/>
        </w:numPr>
        <w:spacing w:before="0" w:after="60" w:line="252" w:lineRule="auto"/>
        <w:keepLines/>
      </w:pPr>
      <w:r>
        <w:rPr>
          <w:rFonts w:ascii="Arial" w:hAnsi="Arial" w:eastAsia="Arial"/>
          <w:color w:val="1E252B"/>
        </w:rPr>
        <w:t>Redesigned omnichannel sales and customer service across telephone, email, online and partner channels, helping stabilise the business model in a challenging market environment.</w:t>
      </w:r>
    </w:p>
    <w:p>
      <w:pPr>
        <w:widowControl/>
        <w:numPr>
          <w:ilvl w:val="0"/>
          <w:numId w:val="10"/>
        </w:numPr>
        <w:spacing w:before="0" w:after="60" w:line="252" w:lineRule="auto"/>
        <w:keepLines/>
      </w:pPr>
      <w:r>
        <w:rPr>
          <w:rFonts w:ascii="Arial" w:hAnsi="Arial" w:eastAsia="Arial"/>
          <w:color w:val="1E252B"/>
        </w:rPr>
        <w:t>Advanced customer experience, CRM, churn and complaint management as well as data-driven sales control and data-warehouse usage.</w:t>
      </w:r>
    </w:p>
    <w:p>
      <w:pPr>
        <w:widowControl/>
        <w:numPr>
          <w:ilvl w:val="0"/>
          <w:numId w:val="10"/>
        </w:numPr>
        <w:spacing w:before="0" w:after="60" w:line="252" w:lineRule="auto"/>
        <w:keepLines/>
      </w:pPr>
      <w:r>
        <w:rPr>
          <w:rFonts w:ascii="Arial" w:hAnsi="Arial" w:eastAsia="Arial"/>
          <w:color w:val="1E252B"/>
        </w:rPr>
        <w:t>Directed product development, marketing concepts and partner selection; held commercial power of attorney under section 54 of the German Commercial Code.</w:t>
      </w:r>
    </w:p>
    <w:p>
      <w:pPr>
        <w:widowControl/>
        <w:numPr>
          <w:ilvl w:val="0"/>
          <w:numId w:val="10"/>
        </w:numPr>
        <w:spacing w:before="0" w:after="60" w:line="252" w:lineRule="auto"/>
      </w:pPr>
      <w:r>
        <w:rPr>
          <w:rFonts w:ascii="Arial" w:hAnsi="Arial" w:eastAsia="Arial"/>
          <w:color w:val="1E252B"/>
        </w:rPr>
        <w:t>As Data Protection Officer, oversaw compliance, opt-in and direct-marketing concepts, IT-security strategy and external legal advisers.</w:t>
      </w:r>
    </w:p>
    <w:p>
      <w:pPr>
        <w:pStyle w:val="Role"/>
        <w:tabs>
          <w:tab w:pos="9865" w:val="right"/>
        </w:tabs>
        <w:keepLines/>
        <w:keepNext/>
      </w:pPr>
      <w:r>
        <w:rPr>
          <w:rFonts w:ascii="Arial" w:hAnsi="Arial" w:eastAsia="Arial"/>
          <w:b/>
          <w:color w:val="173A5E"/>
          <w:sz w:val="22"/>
        </w:rPr>
        <w:t>Head of eCommerce/eService | Controlling Manager | Team Leader</w:t>
      </w:r>
      <w:r>
        <w:tab/>
      </w:r>
      <w:r>
        <w:rPr>
          <w:rFonts w:ascii="Arial" w:hAnsi="Arial" w:eastAsia="Arial"/>
          <w:b/>
          <w:color w:val="167D89"/>
          <w:sz w:val="17"/>
        </w:rPr>
        <w:t>Sep 1995 – Dec 2003</w:t>
      </w:r>
    </w:p>
    <w:p>
      <w:pPr>
        <w:pStyle w:val="Organization"/>
        <w:keepLines/>
        <w:keepNext/>
      </w:pPr>
      <w:r>
        <w:t>Advance Bank AG, Munich</w:t>
      </w:r>
    </w:p>
    <w:p>
      <w:pPr>
        <w:spacing w:after="60"/>
        <w:keepLines/>
        <w:keepNext/>
      </w:pPr>
      <w:r>
        <w:t>Successive build-up and leadership roles in direct banking, covering digital sales channels, service innovation, performance management and customer interaction.</w:t>
      </w:r>
    </w:p>
    <w:p>
      <w:pPr>
        <w:widowControl/>
        <w:numPr>
          <w:ilvl w:val="0"/>
          <w:numId w:val="10"/>
        </w:numPr>
        <w:spacing w:before="0" w:after="60" w:line="252" w:lineRule="auto"/>
        <w:keepLines/>
      </w:pPr>
      <w:r>
        <w:rPr>
          <w:rFonts w:ascii="Arial" w:hAnsi="Arial" w:eastAsia="Arial"/>
          <w:color w:val="1E252B"/>
        </w:rPr>
        <w:t>Built and led a multichannel communication centre; coached employees and managed requirements for CRM, customer experience and sales systems.</w:t>
      </w:r>
    </w:p>
    <w:p>
      <w:pPr>
        <w:widowControl/>
        <w:numPr>
          <w:ilvl w:val="0"/>
          <w:numId w:val="10"/>
        </w:numPr>
        <w:spacing w:before="0" w:after="60" w:line="252" w:lineRule="auto"/>
        <w:keepLines/>
      </w:pPr>
      <w:r>
        <w:rPr>
          <w:rFonts w:ascii="Arial" w:hAnsi="Arial" w:eastAsia="Arial"/>
          <w:color w:val="1E252B"/>
        </w:rPr>
        <w:t>Developed early digital service innovations including a WebGuide/chatbot, collaborative browsing, a bank-wide email tool and interactive voice response.</w:t>
      </w:r>
    </w:p>
    <w:p>
      <w:pPr>
        <w:widowControl/>
        <w:numPr>
          <w:ilvl w:val="0"/>
          <w:numId w:val="10"/>
        </w:numPr>
        <w:spacing w:before="0" w:after="60" w:line="252" w:lineRule="auto"/>
        <w:keepLines/>
      </w:pPr>
      <w:r>
        <w:rPr>
          <w:rFonts w:ascii="Arial" w:hAnsi="Arial" w:eastAsia="Arial"/>
          <w:color w:val="1E252B"/>
        </w:rPr>
        <w:t>Managed strategic and operational performance and sales controlling, workforce and productivity planning, budgeting and process management.</w:t>
      </w:r>
    </w:p>
    <w:p>
      <w:pPr>
        <w:widowControl/>
        <w:numPr>
          <w:ilvl w:val="0"/>
          <w:numId w:val="10"/>
        </w:numPr>
        <w:spacing w:before="0" w:after="60" w:line="252" w:lineRule="auto"/>
      </w:pPr>
      <w:r>
        <w:rPr>
          <w:rFonts w:ascii="Arial" w:hAnsi="Arial" w:eastAsia="Arial"/>
          <w:color w:val="1E252B"/>
        </w:rPr>
        <w:t>Represented the bank in the Dresdner Bank Group's e-commerce forum and delivered business-critical digital projects.</w:t>
      </w:r>
    </w:p>
    <w:p>
      <w:pPr>
        <w:pStyle w:val="Role"/>
        <w:tabs>
          <w:tab w:pos="9865" w:val="right"/>
        </w:tabs>
        <w:keepLines/>
        <w:keepNext/>
      </w:pPr>
      <w:r>
        <w:rPr>
          <w:rFonts w:ascii="Arial" w:hAnsi="Arial" w:eastAsia="Arial"/>
          <w:b/>
          <w:color w:val="173A5E"/>
          <w:sz w:val="22"/>
        </w:rPr>
        <w:t>Interim Accounting &amp; Controlling Specialist</w:t>
      </w:r>
      <w:r>
        <w:tab/>
      </w:r>
      <w:r>
        <w:rPr>
          <w:rFonts w:ascii="Arial" w:hAnsi="Arial" w:eastAsia="Arial"/>
          <w:b/>
          <w:color w:val="167D89"/>
          <w:sz w:val="17"/>
        </w:rPr>
        <w:t>Feb 1995 – Aug 1995</w:t>
      </w:r>
    </w:p>
    <w:p>
      <w:pPr>
        <w:pStyle w:val="Organization"/>
        <w:keepLines/>
        <w:keepNext/>
      </w:pPr>
      <w:r>
        <w:t>General Motors Service – Administration Support Unit, Gross-Gerau</w:t>
      </w:r>
    </w:p>
    <w:p>
      <w:pPr>
        <w:spacing w:after="60"/>
      </w:pPr>
      <w:r>
        <w:t>Finance and accounting support for imported brands in an international group environment.</w:t>
      </w:r>
    </w:p>
    <w:p>
      <w:pPr>
        <w:pStyle w:val="Role"/>
        <w:tabs>
          <w:tab w:pos="9865" w:val="right"/>
        </w:tabs>
        <w:keepLines/>
        <w:keepNext/>
      </w:pPr>
      <w:r>
        <w:rPr>
          <w:rFonts w:ascii="Arial" w:hAnsi="Arial" w:eastAsia="Arial"/>
          <w:b/>
          <w:color w:val="173A5E"/>
          <w:sz w:val="22"/>
        </w:rPr>
        <w:t>Consultant</w:t>
      </w:r>
      <w:r>
        <w:tab/>
      </w:r>
      <w:r>
        <w:rPr>
          <w:rFonts w:ascii="Arial" w:hAnsi="Arial" w:eastAsia="Arial"/>
          <w:b/>
          <w:color w:val="167D89"/>
          <w:sz w:val="17"/>
        </w:rPr>
        <w:t>Oct 1993 – Dec 1994</w:t>
      </w:r>
    </w:p>
    <w:p>
      <w:pPr>
        <w:pStyle w:val="Organization"/>
        <w:keepLines/>
        <w:keepNext/>
      </w:pPr>
      <w:r>
        <w:t>A.S.I. Consulting GmbH &amp; Co. KG, Mainz/Münster</w:t>
      </w:r>
    </w:p>
    <w:p>
      <w:pPr>
        <w:spacing w:after="60"/>
      </w:pPr>
      <w:r>
        <w:t>Advisory work on business formation, start-ups, private equity, management and banking, with own P&amp;L responsibility.</w:t>
      </w:r>
    </w:p>
    <w:p>
      <w:pPr>
        <w:pStyle w:val="Heading1"/>
        <w:pageBreakBefore/>
        <w:pBdr>
          <w:bottom w:val="single" w:sz="7" w:space="3" w:color="167D89"/>
        </w:pBdr>
        <w:keepLines/>
        <w:keepNext/>
      </w:pPr>
      <w:r>
        <w:t>EDUCATION</w:t>
      </w:r>
    </w:p>
    <w:p>
      <w:pPr>
        <w:pStyle w:val="Role"/>
        <w:tabs>
          <w:tab w:pos="9865" w:val="right"/>
        </w:tabs>
        <w:keepLines/>
        <w:keepNext/>
      </w:pPr>
      <w:r>
        <w:rPr>
          <w:rFonts w:ascii="Arial" w:hAnsi="Arial" w:eastAsia="Arial"/>
          <w:b/>
          <w:color w:val="173A5E"/>
          <w:sz w:val="21"/>
        </w:rPr>
        <w:t>Master of Arts – European Studies</w:t>
      </w:r>
      <w:r>
        <w:tab/>
      </w:r>
      <w:r>
        <w:rPr>
          <w:rFonts w:ascii="Arial" w:hAnsi="Arial" w:eastAsia="Arial"/>
          <w:b/>
          <w:color w:val="167D89"/>
          <w:sz w:val="17"/>
        </w:rPr>
        <w:t>Oct 1992 – Oct 1993</w:t>
      </w:r>
    </w:p>
    <w:p>
      <w:pPr>
        <w:pStyle w:val="Organization"/>
        <w:keepLines/>
        <w:keepNext/>
      </w:pPr>
      <w:r>
        <w:t>South Bank University, London, in cooperation with Mainz University of Applied Sciences</w:t>
      </w:r>
    </w:p>
    <w:p>
      <w:pPr>
        <w:spacing w:after="80"/>
      </w:pPr>
      <w:r>
        <w:t>Focus on European law and economics and political science; thesis: “Merger Control in the European Community” in the context of investment banking.</w:t>
      </w:r>
    </w:p>
    <w:p>
      <w:pPr>
        <w:pStyle w:val="Role"/>
        <w:tabs>
          <w:tab w:pos="9865" w:val="right"/>
        </w:tabs>
        <w:keepLines/>
        <w:keepNext/>
      </w:pPr>
      <w:r>
        <w:rPr>
          <w:rFonts w:ascii="Arial" w:hAnsi="Arial" w:eastAsia="Arial"/>
          <w:b/>
          <w:color w:val="173A5E"/>
          <w:sz w:val="21"/>
        </w:rPr>
        <w:t>Study abroad</w:t>
      </w:r>
      <w:r>
        <w:tab/>
      </w:r>
      <w:r>
        <w:rPr>
          <w:rFonts w:ascii="Arial" w:hAnsi="Arial" w:eastAsia="Arial"/>
          <w:b/>
          <w:color w:val="167D89"/>
          <w:sz w:val="17"/>
        </w:rPr>
        <w:t>1990</w:t>
      </w:r>
    </w:p>
    <w:p>
      <w:pPr>
        <w:pStyle w:val="Organization"/>
        <w:keepLines/>
        <w:keepNext/>
      </w:pPr>
      <w:r>
        <w:t>University of Wolverhampton, United Kingdom</w:t>
      </w:r>
    </w:p>
    <w:p>
      <w:pPr>
        <w:spacing w:after="80"/>
      </w:pPr>
      <w:r>
        <w:t>International study period as part of the business degree.</w:t>
      </w:r>
    </w:p>
    <w:p>
      <w:pPr>
        <w:pStyle w:val="Role"/>
        <w:tabs>
          <w:tab w:pos="9865" w:val="right"/>
        </w:tabs>
        <w:keepLines/>
        <w:keepNext/>
      </w:pPr>
      <w:r>
        <w:rPr>
          <w:rFonts w:ascii="Arial" w:hAnsi="Arial" w:eastAsia="Arial"/>
          <w:b/>
          <w:color w:val="173A5E"/>
          <w:sz w:val="21"/>
        </w:rPr>
        <w:t>Diplom-Betriebswirt (FH), Business Administration</w:t>
      </w:r>
      <w:r>
        <w:tab/>
      </w:r>
      <w:r>
        <w:rPr>
          <w:rFonts w:ascii="Arial" w:hAnsi="Arial" w:eastAsia="Arial"/>
          <w:b/>
          <w:color w:val="167D89"/>
          <w:sz w:val="17"/>
        </w:rPr>
        <w:t>Oct 1988 – Jul 1992</w:t>
      </w:r>
    </w:p>
    <w:p>
      <w:pPr>
        <w:pStyle w:val="Organization"/>
        <w:keepLines/>
        <w:keepNext/>
      </w:pPr>
      <w:r>
        <w:t>Regensburg University of Applied Sciences / OTH Regensburg</w:t>
      </w:r>
    </w:p>
    <w:p>
      <w:pPr>
        <w:spacing w:after="80"/>
      </w:pPr>
      <w:r>
        <w:t>Major in marketing; thesis on the European Communities' tobacco advertising ban (grade 1.0); final grade 2.3.</w:t>
      </w:r>
    </w:p>
    <w:p>
      <w:pPr>
        <w:pStyle w:val="Heading1"/>
        <w:pageBreakBefore w:val="0"/>
        <w:pBdr>
          <w:bottom w:val="single" w:sz="7" w:space="3" w:color="167D89"/>
        </w:pBdr>
        <w:keepLines/>
        <w:keepNext/>
      </w:pPr>
      <w:r>
        <w:t>CERTIFICATIONS &amp; METHODS</w:t>
      </w:r>
    </w:p>
    <w:p>
      <w:pPr>
        <w:widowControl/>
        <w:numPr>
          <w:ilvl w:val="0"/>
          <w:numId w:val="10"/>
        </w:numPr>
        <w:spacing w:before="0" w:after="60" w:line="252" w:lineRule="auto"/>
      </w:pPr>
      <w:r>
        <w:rPr>
          <w:rFonts w:ascii="Arial" w:hAnsi="Arial" w:eastAsia="Arial"/>
          <w:color w:val="1E252B"/>
        </w:rPr>
        <w:t>ITIL 4 Managing Professional · ITIL v3 Expert · PRINCE2 · Scrum Master</w:t>
      </w:r>
    </w:p>
    <w:p>
      <w:pPr>
        <w:widowControl/>
        <w:numPr>
          <w:ilvl w:val="0"/>
          <w:numId w:val="10"/>
        </w:numPr>
        <w:spacing w:before="0" w:after="60" w:line="252" w:lineRule="auto"/>
      </w:pPr>
      <w:r>
        <w:rPr>
          <w:rFonts w:ascii="Arial" w:hAnsi="Arial" w:eastAsia="Arial"/>
          <w:color w:val="1E252B"/>
        </w:rPr>
        <w:t>FIM Method Expert · COBIT Auditor · EFQM · Six Sigma</w:t>
      </w:r>
    </w:p>
    <w:p>
      <w:pPr>
        <w:widowControl/>
        <w:numPr>
          <w:ilvl w:val="0"/>
          <w:numId w:val="10"/>
        </w:numPr>
        <w:spacing w:before="0" w:after="60" w:line="252" w:lineRule="auto"/>
      </w:pPr>
      <w:r>
        <w:rPr>
          <w:rFonts w:ascii="Arial" w:hAnsi="Arial" w:eastAsia="Arial"/>
          <w:color w:val="1E252B"/>
        </w:rPr>
        <w:t>Hands-on expertise in IT governance, ISO 27001, data protection, risk and compliance management</w:t>
      </w:r>
    </w:p>
    <w:p>
      <w:pPr>
        <w:pStyle w:val="Heading1"/>
        <w:pageBreakBefore w:val="0"/>
        <w:pBdr>
          <w:bottom w:val="single" w:sz="7" w:space="3" w:color="167D89"/>
        </w:pBdr>
        <w:keepLines/>
        <w:keepNext/>
      </w:pPr>
      <w:r>
        <w:t>COMMITTEES, PROFESSIONAL ENGAGEMENT &amp; PUBLICATIONS</w:t>
      </w:r>
    </w:p>
    <w:p>
      <w:pPr>
        <w:widowControl/>
        <w:numPr>
          <w:ilvl w:val="0"/>
          <w:numId w:val="10"/>
        </w:numPr>
        <w:spacing w:before="0" w:after="60" w:line="252" w:lineRule="auto"/>
      </w:pPr>
      <w:r>
        <w:rPr>
          <w:rFonts w:ascii="Arial" w:hAnsi="Arial" w:eastAsia="Arial"/>
          <w:color w:val="1E252B"/>
        </w:rPr>
        <w:t>Founder and lead of the NExT Community of Practice for Robotic Process Automation, subsequently broadened to low-code and AI in public administration.</w:t>
      </w:r>
    </w:p>
    <w:p>
      <w:pPr>
        <w:widowControl/>
        <w:numPr>
          <w:ilvl w:val="0"/>
          <w:numId w:val="10"/>
        </w:numPr>
        <w:spacing w:before="0" w:after="60" w:line="252" w:lineRule="auto"/>
      </w:pPr>
      <w:r>
        <w:rPr>
          <w:rFonts w:ascii="Arial" w:hAnsi="Arial" w:eastAsia="Arial"/>
          <w:color w:val="1E252B"/>
        </w:rPr>
        <w:t>Expert participation and representation in formats of AWV, Initiative D21, NExT and Behörden Spiegel as well as federal consultation and architecture processes.</w:t>
      </w:r>
    </w:p>
    <w:p>
      <w:pPr>
        <w:widowControl/>
        <w:numPr>
          <w:ilvl w:val="0"/>
          <w:numId w:val="10"/>
        </w:numPr>
        <w:spacing w:before="0" w:after="60" w:line="252" w:lineRule="auto"/>
      </w:pPr>
      <w:r>
        <w:rPr>
          <w:rFonts w:ascii="Arial" w:hAnsi="Arial" w:eastAsia="Arial"/>
          <w:color w:val="1E252B"/>
        </w:rPr>
        <w:t>Contributions on OZG reference architecture, register modernisation, digital identities and government cloud; expert perspectives in the 2022 and 2023 eGovernment MONITOR and contribution in the wider context of the publication “NEUSTAAT”.</w:t>
      </w:r>
    </w:p>
    <w:p>
      <w:pPr>
        <w:pStyle w:val="Heading1"/>
        <w:pageBreakBefore w:val="0"/>
        <w:pBdr>
          <w:bottom w:val="single" w:sz="7" w:space="3" w:color="167D89"/>
        </w:pBdr>
        <w:keepLines/>
        <w:keepNext/>
      </w:pPr>
      <w:r>
        <w:t>LANGUAGES</w:t>
      </w:r>
    </w:p>
    <w:p>
      <w:pPr>
        <w:spacing w:after="0"/>
      </w:pPr>
      <w:r>
        <w:t>German – native · English – strong professional proficiency</w:t>
      </w:r>
    </w:p>
    <w:sectPr>
      <w:headerReference w:type="default" r:id="rId9"/>
      <w:headerReference w:type="first" r:id="rId10"/>
      <w:footerReference w:type="default" r:id="rId11"/>
      <w:pgSz w:w="11906" w:h="16838"/>
      <w:pgMar w:top="850" w:right="1020" w:bottom="907" w:left="1020" w:header="397" w:footer="42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65" w:val="right"/>
      </w:tabs>
      <w:spacing w:before="0" w:after="0"/>
    </w:pPr>
    <w:r>
      <w:rPr>
        <w:rFonts w:ascii="Arial" w:hAnsi="Arial" w:eastAsia="Arial"/>
        <w:color w:val="66717A"/>
        <w:sz w:val="14"/>
      </w:rPr>
      <w:t>mn@neidel.eu · +49 172 9818176</w:t>
    </w:r>
    <w:r>
      <w:tab/>
    </w:r>
    <w:r>
      <w:rPr>
        <w:rFonts w:ascii="Arial" w:hAnsi="Arial" w:eastAsia="Arial"/>
        <w:color w:val="66717A"/>
        <w:sz w:val="14"/>
      </w:rPr>
      <w:t xml:space="preserve">Curriculum Vitae · </w:t>
    </w:r>
    <w:r>
      <w:rPr>
        <w:rFonts w:ascii="Arial" w:hAnsi="Arial" w:eastAsia="Arial"/>
        <w:color w:val="66717A"/>
        <w:sz w:val="14"/>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spacing w:after="60" w:line="252" w:lineRule="auto"/>
      </w:pPr>
      <w:rPr>
        <w:rFonts w:ascii="Arial" w:hAnsi="Arial"/>
        <w:color w:val="167D89"/>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8" w:line="259" w:lineRule="auto"/>
    </w:pPr>
    <w:rPr>
      <w:rFonts w:ascii="Arial" w:hAnsi="Arial"/>
      <w:color w:val="1E252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aps/>
      <w:color w:val="173A5E"/>
      <w:sz w:val="25"/>
      <w:szCs w:val="28"/>
    </w:rPr>
  </w:style>
  <w:style w:type="paragraph" w:styleId="Heading2">
    <w:name w:val="heading 2"/>
    <w:basedOn w:val="Normal"/>
    <w:next w:val="Normal"/>
    <w:link w:val="Heading2Char"/>
    <w:uiPriority w:val="9"/>
    <w:unhideWhenUsed/>
    <w:qFormat/>
    <w:rsid w:val="00FC693F"/>
    <w:pPr>
      <w:keepNext/>
      <w:keepLines/>
      <w:spacing w:before="160" w:after="40"/>
      <w:outlineLvl w:val="1"/>
    </w:pPr>
    <w:rPr>
      <w:rFonts w:asciiTheme="majorHAnsi" w:eastAsiaTheme="majorEastAsia" w:hAnsiTheme="majorHAnsi" w:cstheme="majorBidi" w:ascii="Arial" w:hAnsi="Arial"/>
      <w:b/>
      <w:bCs/>
      <w:color w:val="173A5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pPr>
    <w:rPr>
      <w:rFonts w:asciiTheme="majorHAnsi" w:eastAsiaTheme="majorEastAsia" w:hAnsiTheme="majorHAnsi" w:cstheme="majorBidi" w:ascii="Arial" w:hAnsi="Arial"/>
      <w:b/>
      <w:color w:val="173A5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40"/>
    </w:pPr>
    <w:rPr>
      <w:rFonts w:asciiTheme="majorHAnsi" w:eastAsiaTheme="majorEastAsia" w:hAnsiTheme="majorHAnsi" w:cstheme="majorBidi" w:ascii="Arial" w:hAnsi="Arial"/>
      <w:b/>
      <w:i/>
      <w:iCs/>
      <w:color w:val="167D89"/>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ole">
    <w:name w:val="Role"/>
    <w:pPr>
      <w:keepNext/>
      <w:spacing w:before="140" w:after="20"/>
    </w:pPr>
    <w:rPr>
      <w:rFonts w:ascii="Arial" w:hAnsi="Arial"/>
      <w:b/>
      <w:color w:val="173A5E"/>
      <w:sz w:val="22"/>
    </w:rPr>
  </w:style>
  <w:style w:type="paragraph" w:customStyle="1" w:styleId="Organization">
    <w:name w:val="Organization"/>
    <w:pPr>
      <w:keepNext/>
      <w:spacing w:before="0" w:after="60"/>
    </w:pPr>
    <w:rPr>
      <w:rFonts w:ascii="Arial" w:hAnsi="Arial"/>
      <w:i/>
      <w:color w:val="66717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Manfred Neidel</dc:title>
  <dc:subject>Executive CV</dc:subject>
  <dc:creator/>
  <cp:keywords>Digital Transformation, IT, Business Development, Leadership, Public Sector</cp:keywords>
  <dc:description/>
  <cp:lastModifiedBy/>
  <cp:revision>1</cp:revision>
  <dcterms:created xsi:type="dcterms:W3CDTF">2013-12-23T23:15:00Z</dcterms:created>
  <dcterms:modified xsi:type="dcterms:W3CDTF">2013-12-23T23:15:00Z</dcterms:modified>
  <cp:category/>
</cp:coreProperties>
</file>